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C4C09" w14:textId="08CB4E06" w:rsidR="0081323E" w:rsidRDefault="0081323E" w:rsidP="0081323E">
      <w:pPr>
        <w:pStyle w:val="CRCoverPage"/>
        <w:tabs>
          <w:tab w:val="right" w:pos="9639"/>
        </w:tabs>
        <w:spacing w:after="0"/>
        <w:rPr>
          <w:b/>
          <w:i/>
          <w:noProof/>
          <w:sz w:val="28"/>
        </w:rPr>
      </w:pPr>
      <w:r>
        <w:rPr>
          <w:b/>
          <w:noProof/>
          <w:sz w:val="24"/>
        </w:rPr>
        <w:t>3GPP TSG-RAN WG3 Meeting #119</w:t>
      </w:r>
      <w:r w:rsidR="00587DED">
        <w:rPr>
          <w:b/>
          <w:noProof/>
          <w:sz w:val="24"/>
        </w:rPr>
        <w:t>bis-e</w:t>
      </w:r>
      <w:r>
        <w:rPr>
          <w:b/>
          <w:i/>
          <w:noProof/>
          <w:sz w:val="28"/>
        </w:rPr>
        <w:tab/>
      </w:r>
      <w:r w:rsidR="00587DED" w:rsidRPr="00587DED">
        <w:rPr>
          <w:b/>
          <w:noProof/>
          <w:sz w:val="24"/>
        </w:rPr>
        <w:t>R3-231525</w:t>
      </w:r>
    </w:p>
    <w:p w14:paraId="05FE47DF" w14:textId="143DCBC4" w:rsidR="00CD4C7B" w:rsidRPr="0081323E" w:rsidRDefault="00587DED" w:rsidP="0081323E">
      <w:pPr>
        <w:pStyle w:val="CRCoverPage"/>
        <w:outlineLvl w:val="0"/>
        <w:rPr>
          <w:b/>
          <w:noProof/>
          <w:sz w:val="24"/>
        </w:rPr>
      </w:pPr>
      <w:r>
        <w:rPr>
          <w:b/>
          <w:noProof/>
          <w:sz w:val="24"/>
        </w:rPr>
        <w:t>Online</w:t>
      </w:r>
      <w:r w:rsidR="0081323E">
        <w:rPr>
          <w:b/>
          <w:noProof/>
          <w:sz w:val="24"/>
        </w:rPr>
        <w:t xml:space="preserve"> </w:t>
      </w:r>
      <w:r>
        <w:rPr>
          <w:b/>
          <w:noProof/>
          <w:sz w:val="24"/>
        </w:rPr>
        <w:t>17</w:t>
      </w:r>
      <w:r w:rsidR="0081323E">
        <w:rPr>
          <w:b/>
          <w:noProof/>
          <w:sz w:val="24"/>
        </w:rPr>
        <w:t xml:space="preserve"> </w:t>
      </w:r>
      <w:r>
        <w:rPr>
          <w:b/>
          <w:noProof/>
          <w:sz w:val="24"/>
        </w:rPr>
        <w:t>April</w:t>
      </w:r>
      <w:r w:rsidR="0081323E">
        <w:rPr>
          <w:b/>
          <w:noProof/>
          <w:sz w:val="24"/>
        </w:rPr>
        <w:t>-</w:t>
      </w:r>
      <w:r>
        <w:rPr>
          <w:b/>
          <w:noProof/>
          <w:sz w:val="24"/>
        </w:rPr>
        <w:t>26</w:t>
      </w:r>
      <w:r w:rsidR="0081323E">
        <w:rPr>
          <w:b/>
          <w:noProof/>
          <w:sz w:val="24"/>
        </w:rPr>
        <w:t xml:space="preserve"> </w:t>
      </w:r>
      <w:r>
        <w:rPr>
          <w:b/>
          <w:noProof/>
          <w:sz w:val="24"/>
        </w:rPr>
        <w:t>April</w:t>
      </w:r>
      <w:r>
        <w:rPr>
          <w:b/>
          <w:noProof/>
          <w:sz w:val="24"/>
        </w:rPr>
        <w:t xml:space="preserve"> </w:t>
      </w:r>
      <w:r w:rsidR="0081323E">
        <w:rPr>
          <w:b/>
          <w:noProof/>
          <w:sz w:val="24"/>
        </w:rPr>
        <w:t>2023</w:t>
      </w:r>
    </w:p>
    <w:p w14:paraId="0717E73E" w14:textId="77777777" w:rsidR="00CD4C7B" w:rsidRPr="00B1063A" w:rsidRDefault="00CD4C7B" w:rsidP="00CD4C7B">
      <w:pPr>
        <w:pStyle w:val="a3"/>
        <w:rPr>
          <w:bCs/>
          <w:noProof w:val="0"/>
          <w:sz w:val="24"/>
          <w:lang w:val="en-US"/>
        </w:rPr>
      </w:pPr>
    </w:p>
    <w:p w14:paraId="3B0EF5F6" w14:textId="760ACE4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DE532C">
        <w:rPr>
          <w:rFonts w:cs="Arial"/>
          <w:b/>
          <w:bCs/>
          <w:sz w:val="24"/>
          <w:lang w:val="en-US" w:eastAsia="ja-JP"/>
        </w:rPr>
        <w:t>3</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1588F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Discussion on</w:t>
      </w:r>
      <w:r w:rsidR="001B7EB4">
        <w:rPr>
          <w:rFonts w:ascii="Arial" w:hAnsi="Arial" w:cs="Arial"/>
          <w:b/>
          <w:bCs/>
          <w:sz w:val="24"/>
        </w:rPr>
        <w:t xml:space="preserve"> </w:t>
      </w:r>
      <w:r w:rsidR="00DE532C">
        <w:rPr>
          <w:rFonts w:ascii="Arial" w:hAnsi="Arial" w:cs="Arial"/>
          <w:b/>
          <w:bCs/>
          <w:sz w:val="24"/>
        </w:rPr>
        <w:t>mobility</w:t>
      </w:r>
      <w:r w:rsidR="001B7EB4">
        <w:rPr>
          <w:rFonts w:ascii="Arial" w:hAnsi="Arial" w:cs="Arial"/>
          <w:b/>
          <w:bCs/>
          <w:sz w:val="24"/>
        </w:rPr>
        <w:t xml:space="preserve"> enhancement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2F658ABD" w14:textId="21D5B1F4" w:rsidR="00693037" w:rsidRPr="00693037" w:rsidRDefault="009932F2" w:rsidP="00CD4C7B">
      <w:pPr>
        <w:rPr>
          <w:sz w:val="22"/>
        </w:rPr>
      </w:pPr>
      <w:r>
        <w:rPr>
          <w:noProof/>
          <w:sz w:val="22"/>
        </w:rPr>
        <mc:AlternateContent>
          <mc:Choice Requires="wps">
            <w:drawing>
              <wp:anchor distT="0" distB="0" distL="114300" distR="114300" simplePos="0" relativeHeight="251659264" behindDoc="0" locked="0" layoutInCell="1" allowOverlap="1" wp14:anchorId="5B3F6746" wp14:editId="2A7395AA">
                <wp:simplePos x="0" y="0"/>
                <wp:positionH relativeFrom="column">
                  <wp:posOffset>-90805</wp:posOffset>
                </wp:positionH>
                <wp:positionV relativeFrom="paragraph">
                  <wp:posOffset>393065</wp:posOffset>
                </wp:positionV>
                <wp:extent cx="6122035" cy="4413250"/>
                <wp:effectExtent l="0" t="0" r="12065" b="25400"/>
                <wp:wrapTopAndBottom/>
                <wp:docPr id="1" name="文本框 1"/>
                <wp:cNvGraphicFramePr/>
                <a:graphic xmlns:a="http://schemas.openxmlformats.org/drawingml/2006/main">
                  <a:graphicData uri="http://schemas.microsoft.com/office/word/2010/wordprocessingShape">
                    <wps:wsp>
                      <wps:cNvSpPr txBox="1"/>
                      <wps:spPr>
                        <a:xfrm>
                          <a:off x="0" y="0"/>
                          <a:ext cx="6122035" cy="4413250"/>
                        </a:xfrm>
                        <a:prstGeom prst="rect">
                          <a:avLst/>
                        </a:prstGeom>
                        <a:solidFill>
                          <a:schemeClr val="lt1"/>
                        </a:solidFill>
                        <a:ln w="6350">
                          <a:solidFill>
                            <a:prstClr val="black"/>
                          </a:solidFill>
                        </a:ln>
                      </wps:spPr>
                      <wps:txbx>
                        <w:txbxContent>
                          <w:p w14:paraId="4BCAA4AD" w14:textId="038DF4BF" w:rsidR="005210A7" w:rsidRDefault="005210A7" w:rsidP="00693037">
                            <w:pPr>
                              <w:widowControl w:val="0"/>
                              <w:ind w:left="144" w:hanging="144"/>
                              <w:rPr>
                                <w:rFonts w:ascii="Calibri" w:hAnsi="Calibri" w:cs="Calibri"/>
                                <w:i/>
                                <w:color w:val="FF0000"/>
                                <w:sz w:val="16"/>
                                <w:szCs w:val="16"/>
                              </w:rPr>
                            </w:pPr>
                            <w:r>
                              <w:rPr>
                                <w:rFonts w:ascii="Calibri" w:hAnsi="Calibri" w:cs="Calibri"/>
                                <w:i/>
                                <w:color w:val="FF0000"/>
                                <w:sz w:val="16"/>
                                <w:szCs w:val="16"/>
                              </w:rPr>
                              <w:t>RAN3#117bis</w:t>
                            </w:r>
                          </w:p>
                          <w:p w14:paraId="3D689FCE"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After baseline procedures have been established, RAN3 to discuss the benefit and whether to support </w:t>
                            </w:r>
                            <w:proofErr w:type="spellStart"/>
                            <w:r w:rsidRPr="000F39B0">
                              <w:rPr>
                                <w:rFonts w:ascii="Calibri" w:hAnsi="Calibri" w:cs="Calibri"/>
                                <w:i/>
                                <w:iCs/>
                                <w:color w:val="00B050"/>
                                <w:kern w:val="2"/>
                                <w:sz w:val="16"/>
                                <w:szCs w:val="16"/>
                              </w:rPr>
                              <w:t>signaling</w:t>
                            </w:r>
                            <w:proofErr w:type="spellEnd"/>
                            <w:r w:rsidRPr="000F39B0">
                              <w:rPr>
                                <w:rFonts w:ascii="Calibri" w:hAnsi="Calibri" w:cs="Calibri"/>
                                <w:i/>
                                <w:iCs/>
                                <w:color w:val="00B050"/>
                                <w:kern w:val="2"/>
                                <w:sz w:val="16"/>
                                <w:szCs w:val="16"/>
                              </w:rPr>
                              <w:t xml:space="preserve"> of information related to multiple UE contexts in a single message for UE handover preparation, path switch, and context release procedures.</w:t>
                            </w:r>
                          </w:p>
                          <w:p w14:paraId="71C7747B"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As the baseline, F1 establishment and configuration of the new logical DU follows legacy procedures. </w:t>
                            </w:r>
                          </w:p>
                          <w:p w14:paraId="0BCC79F0" w14:textId="77777777" w:rsidR="005210A7" w:rsidRPr="000F39B0" w:rsidRDefault="005210A7" w:rsidP="005210A7">
                            <w:pPr>
                              <w:widowControl w:val="0"/>
                              <w:ind w:left="144" w:hanging="144"/>
                              <w:rPr>
                                <w:rFonts w:ascii="Calibri" w:hAnsi="Calibri" w:cs="Calibri"/>
                                <w:i/>
                                <w:iCs/>
                                <w:color w:val="00B050"/>
                                <w:kern w:val="2"/>
                                <w:sz w:val="16"/>
                                <w:szCs w:val="16"/>
                              </w:rPr>
                            </w:pPr>
                            <w:r w:rsidRPr="0033697B">
                              <w:rPr>
                                <w:rFonts w:ascii="Calibri" w:hAnsi="Calibri" w:cs="Calibri"/>
                                <w:i/>
                                <w:iCs/>
                                <w:color w:val="00B050"/>
                                <w:kern w:val="2"/>
                                <w:sz w:val="16"/>
                                <w:szCs w:val="16"/>
                              </w:rPr>
                              <w:t>RAN3 to discuss whether and which information can be shared between two logical DUs in case of IAB-DU migration.</w:t>
                            </w:r>
                          </w:p>
                          <w:p w14:paraId="3E6EAB5A"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RAN3 to discuss which of the OAM-configured and network-configured parameters may be pre-configured at a mobile IAB-node, after a baseline procedure for IAB-DU migration is developed.</w:t>
                            </w:r>
                          </w:p>
                          <w:p w14:paraId="36B07A41"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Source donor CU of mobile IAB-MT informs the target donor CU of mobile IAB-MT that the migrating node is a mobile IAB-node, via explicit indication in </w:t>
                            </w:r>
                            <w:proofErr w:type="spellStart"/>
                            <w:r w:rsidRPr="000F39B0">
                              <w:rPr>
                                <w:rFonts w:ascii="Calibri" w:hAnsi="Calibri" w:cs="Calibri"/>
                                <w:i/>
                                <w:iCs/>
                                <w:color w:val="00B050"/>
                                <w:kern w:val="2"/>
                                <w:sz w:val="16"/>
                                <w:szCs w:val="16"/>
                              </w:rPr>
                              <w:t>XnAP</w:t>
                            </w:r>
                            <w:proofErr w:type="spellEnd"/>
                            <w:r w:rsidRPr="000F39B0">
                              <w:rPr>
                                <w:rFonts w:ascii="Calibri" w:hAnsi="Calibri" w:cs="Calibri"/>
                                <w:i/>
                                <w:iCs/>
                                <w:color w:val="00B050"/>
                                <w:kern w:val="2"/>
                                <w:sz w:val="16"/>
                                <w:szCs w:val="16"/>
                              </w:rPr>
                              <w:t xml:space="preserve"> HO Request message.</w:t>
                            </w:r>
                          </w:p>
                          <w:p w14:paraId="77F2EC85" w14:textId="0EB2098E" w:rsidR="005210A7" w:rsidRPr="005210A7"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RAN3 to discuss whether source donor should know whether the target cell belongs to a </w:t>
                            </w:r>
                            <w:proofErr w:type="spellStart"/>
                            <w:r w:rsidRPr="000F39B0">
                              <w:rPr>
                                <w:rFonts w:ascii="Calibri" w:hAnsi="Calibri" w:cs="Calibri"/>
                                <w:i/>
                                <w:iCs/>
                                <w:color w:val="00B050"/>
                                <w:kern w:val="2"/>
                                <w:sz w:val="16"/>
                                <w:szCs w:val="16"/>
                              </w:rPr>
                              <w:t>mIAB</w:t>
                            </w:r>
                            <w:proofErr w:type="spellEnd"/>
                            <w:r w:rsidRPr="000F39B0">
                              <w:rPr>
                                <w:rFonts w:ascii="Calibri" w:hAnsi="Calibri" w:cs="Calibri"/>
                                <w:i/>
                                <w:iCs/>
                                <w:color w:val="00B050"/>
                                <w:kern w:val="2"/>
                                <w:sz w:val="16"/>
                                <w:szCs w:val="16"/>
                              </w:rPr>
                              <w:t>-Node.</w:t>
                            </w:r>
                          </w:p>
                          <w:p w14:paraId="62F6C75D" w14:textId="6AB56403" w:rsidR="00693037" w:rsidRPr="00693037" w:rsidRDefault="00693037" w:rsidP="00693037">
                            <w:pPr>
                              <w:widowControl w:val="0"/>
                              <w:ind w:left="144" w:hanging="144"/>
                              <w:rPr>
                                <w:rFonts w:ascii="Calibri" w:hAnsi="Calibri" w:cs="Calibri"/>
                                <w:i/>
                                <w:color w:val="FF0000"/>
                                <w:sz w:val="16"/>
                                <w:szCs w:val="16"/>
                              </w:rPr>
                            </w:pPr>
                            <w:r w:rsidRPr="00D4695C">
                              <w:rPr>
                                <w:rFonts w:ascii="Calibri" w:hAnsi="Calibri" w:cs="Calibri"/>
                                <w:i/>
                                <w:color w:val="FF0000"/>
                                <w:sz w:val="16"/>
                                <w:szCs w:val="16"/>
                              </w:rPr>
                              <w:t>RAN3#118:</w:t>
                            </w:r>
                          </w:p>
                          <w:p w14:paraId="711B6396" w14:textId="35E6667E" w:rsidR="00693037" w:rsidRPr="00D4695C" w:rsidRDefault="00693037" w:rsidP="00693037">
                            <w:pPr>
                              <w:widowControl w:val="0"/>
                              <w:ind w:left="144" w:hanging="144"/>
                              <w:rPr>
                                <w:rFonts w:ascii="Calibri" w:hAnsi="Calibri" w:cs="Calibri"/>
                                <w:i/>
                                <w:iCs/>
                                <w:color w:val="00B050"/>
                                <w:kern w:val="2"/>
                                <w:sz w:val="16"/>
                                <w:szCs w:val="16"/>
                                <w:u w:val="single"/>
                              </w:rPr>
                            </w:pPr>
                            <w:r w:rsidRPr="00D4695C">
                              <w:rPr>
                                <w:rFonts w:ascii="Calibri" w:hAnsi="Calibri" w:cs="Calibri"/>
                                <w:i/>
                                <w:iCs/>
                                <w:color w:val="00B050"/>
                                <w:kern w:val="2"/>
                                <w:sz w:val="16"/>
                                <w:szCs w:val="16"/>
                                <w:u w:val="single"/>
                              </w:rPr>
                              <w:t>Dynamic TACs:</w:t>
                            </w:r>
                          </w:p>
                          <w:p w14:paraId="42C866D4"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Static TAC solution is not pursued. </w:t>
                            </w:r>
                          </w:p>
                          <w:p w14:paraId="1D1DBE3E"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RAN3 assumes that dynamic TAC solution should be supported. </w:t>
                            </w:r>
                          </w:p>
                          <w:p w14:paraId="1918013B"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RAN3 to continue discussions on impacts (if any) of dynamic TAC solutions on RAN3 specs </w:t>
                            </w:r>
                          </w:p>
                          <w:p w14:paraId="48F3EA75" w14:textId="14F322A6" w:rsidR="00693037"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Send </w:t>
                            </w:r>
                            <w:proofErr w:type="gramStart"/>
                            <w:r w:rsidRPr="00D4695C">
                              <w:rPr>
                                <w:rFonts w:ascii="Calibri" w:hAnsi="Calibri" w:cs="Calibri"/>
                                <w:i/>
                                <w:iCs/>
                                <w:color w:val="00B050"/>
                                <w:kern w:val="2"/>
                                <w:sz w:val="16"/>
                                <w:szCs w:val="16"/>
                              </w:rPr>
                              <w:t>an</w:t>
                            </w:r>
                            <w:proofErr w:type="gramEnd"/>
                            <w:r w:rsidRPr="00D4695C">
                              <w:rPr>
                                <w:rFonts w:ascii="Calibri" w:hAnsi="Calibri" w:cs="Calibri"/>
                                <w:i/>
                                <w:iCs/>
                                <w:color w:val="00B050"/>
                                <w:kern w:val="2"/>
                                <w:sz w:val="16"/>
                                <w:szCs w:val="16"/>
                              </w:rPr>
                              <w:t xml:space="preserve"> LS to RAN2 (include SA2 in To) informing RAN2 of the decisions taken by RAN3</w:t>
                            </w:r>
                          </w:p>
                          <w:p w14:paraId="5CFEDF30" w14:textId="77777777" w:rsidR="0033697B" w:rsidRDefault="0033697B" w:rsidP="0033697B">
                            <w:pPr>
                              <w:widowControl w:val="0"/>
                              <w:rPr>
                                <w:rFonts w:ascii="Calibri" w:hAnsi="Calibri" w:cs="Calibri"/>
                                <w:i/>
                                <w:color w:val="FF0000"/>
                                <w:sz w:val="16"/>
                                <w:szCs w:val="16"/>
                              </w:rPr>
                            </w:pPr>
                            <w:r>
                              <w:rPr>
                                <w:rFonts w:ascii="Calibri" w:hAnsi="Calibri" w:cs="Calibri"/>
                                <w:i/>
                                <w:color w:val="FF0000"/>
                                <w:sz w:val="16"/>
                                <w:szCs w:val="16"/>
                              </w:rPr>
                              <w:t>RAN3#119:</w:t>
                            </w:r>
                          </w:p>
                          <w:p w14:paraId="38C52368" w14:textId="77777777" w:rsidR="0033697B" w:rsidRPr="00CE4D48" w:rsidRDefault="0033697B" w:rsidP="0033697B">
                            <w:pPr>
                              <w:widowControl w:val="0"/>
                              <w:ind w:left="144" w:hanging="144"/>
                              <w:rPr>
                                <w:rFonts w:ascii="Calibri" w:hAnsi="Calibri" w:cs="Calibri"/>
                                <w:i/>
                                <w:iCs/>
                                <w:color w:val="00B050"/>
                                <w:kern w:val="2"/>
                                <w:sz w:val="16"/>
                                <w:szCs w:val="16"/>
                              </w:rPr>
                            </w:pPr>
                            <w:r w:rsidRPr="00CE4D48">
                              <w:rPr>
                                <w:rFonts w:ascii="Calibri" w:hAnsi="Calibri" w:cs="Calibri"/>
                                <w:i/>
                                <w:iCs/>
                                <w:color w:val="00B050"/>
                                <w:kern w:val="2"/>
                                <w:sz w:val="16"/>
                                <w:szCs w:val="16"/>
                              </w:rPr>
                              <w:t xml:space="preserve">With respect to </w:t>
                            </w:r>
                            <w:proofErr w:type="spellStart"/>
                            <w:r w:rsidRPr="00CE4D48">
                              <w:rPr>
                                <w:rFonts w:ascii="Calibri" w:hAnsi="Calibri" w:cs="Calibri"/>
                                <w:i/>
                                <w:iCs/>
                                <w:color w:val="00B050"/>
                                <w:kern w:val="2"/>
                                <w:sz w:val="16"/>
                                <w:szCs w:val="16"/>
                              </w:rPr>
                              <w:t>mIAB</w:t>
                            </w:r>
                            <w:proofErr w:type="spellEnd"/>
                            <w:r w:rsidRPr="00CE4D48">
                              <w:rPr>
                                <w:rFonts w:ascii="Calibri" w:hAnsi="Calibri" w:cs="Calibri"/>
                                <w:i/>
                                <w:iCs/>
                                <w:color w:val="00B050"/>
                                <w:kern w:val="2"/>
                                <w:sz w:val="16"/>
                                <w:szCs w:val="16"/>
                              </w:rPr>
                              <w:t>-DU migration and partial migration, RAN3 to discuss how the mobile IAB-DU’s parameters are (re-)configured.</w:t>
                            </w:r>
                          </w:p>
                          <w:p w14:paraId="7DEC26FE" w14:textId="77777777" w:rsidR="0033697B" w:rsidRDefault="0033697B" w:rsidP="0033697B">
                            <w:pPr>
                              <w:widowControl w:val="0"/>
                              <w:rPr>
                                <w:rFonts w:ascii="Calibri" w:hAnsi="Calibri" w:cs="Calibri"/>
                                <w:i/>
                                <w:iCs/>
                                <w:color w:val="00B050"/>
                                <w:kern w:val="2"/>
                                <w:sz w:val="16"/>
                                <w:szCs w:val="16"/>
                              </w:rPr>
                            </w:pPr>
                            <w:r w:rsidRPr="00CE4D48">
                              <w:rPr>
                                <w:rFonts w:ascii="Calibri" w:hAnsi="Calibri" w:cs="Calibri"/>
                                <w:i/>
                                <w:iCs/>
                                <w:color w:val="00B050"/>
                                <w:kern w:val="2"/>
                                <w:sz w:val="16"/>
                                <w:szCs w:val="16"/>
                              </w:rPr>
                              <w:t xml:space="preserve">Capture on stage 2 that the TAC/RANAC broadcast by the mobile IAB-DU can be changed in order to reflect the </w:t>
                            </w:r>
                            <w:proofErr w:type="spellStart"/>
                            <w:r w:rsidRPr="00CE4D48">
                              <w:rPr>
                                <w:rFonts w:ascii="Calibri" w:hAnsi="Calibri" w:cs="Calibri"/>
                                <w:i/>
                                <w:iCs/>
                                <w:color w:val="00B050"/>
                                <w:kern w:val="2"/>
                                <w:sz w:val="16"/>
                                <w:szCs w:val="16"/>
                              </w:rPr>
                              <w:t>mIAB</w:t>
                            </w:r>
                            <w:proofErr w:type="spellEnd"/>
                            <w:r w:rsidRPr="00CE4D48">
                              <w:rPr>
                                <w:rFonts w:ascii="Calibri" w:hAnsi="Calibri" w:cs="Calibri"/>
                                <w:i/>
                                <w:iCs/>
                                <w:color w:val="00B050"/>
                                <w:kern w:val="2"/>
                                <w:sz w:val="16"/>
                                <w:szCs w:val="16"/>
                              </w:rPr>
                              <w:t xml:space="preserve">-node’s physical location. It needs to be further discussed how the mobile IAB-DU’s TAC/RANAC is changed and what Stage 3 impacts are (if any). </w:t>
                            </w:r>
                          </w:p>
                          <w:p w14:paraId="1DAA16A3" w14:textId="42438F75" w:rsidR="00693037" w:rsidRDefault="00693037" w:rsidP="006930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B3F6746" id="_x0000_t202" coordsize="21600,21600" o:spt="202" path="m,l,21600r21600,l21600,xe">
                <v:stroke joinstyle="miter"/>
                <v:path gradientshapeok="t" o:connecttype="rect"/>
              </v:shapetype>
              <v:shape id="文本框 1" o:spid="_x0000_s1026" type="#_x0000_t202" style="position:absolute;margin-left:-7.15pt;margin-top:30.95pt;width:482.05pt;height:3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" fillcolor="white [3201]" strokeweight=".5pt">
                <v:textbox>
                  <w:txbxContent>
                    <w:p w14:paraId="4BCAA4AD" w14:textId="038DF4BF" w:rsidR="005210A7" w:rsidRDefault="005210A7" w:rsidP="00693037">
                      <w:pPr>
                        <w:widowControl w:val="0"/>
                        <w:ind w:left="144" w:hanging="144"/>
                        <w:rPr>
                          <w:rFonts w:ascii="Calibri" w:hAnsi="Calibri" w:cs="Calibri"/>
                          <w:i/>
                          <w:color w:val="FF0000"/>
                          <w:sz w:val="16"/>
                          <w:szCs w:val="16"/>
                        </w:rPr>
                      </w:pPr>
                      <w:r>
                        <w:rPr>
                          <w:rFonts w:ascii="Calibri" w:hAnsi="Calibri" w:cs="Calibri"/>
                          <w:i/>
                          <w:color w:val="FF0000"/>
                          <w:sz w:val="16"/>
                          <w:szCs w:val="16"/>
                        </w:rPr>
                        <w:t>RAN3#117bis</w:t>
                      </w:r>
                    </w:p>
                    <w:p w14:paraId="3D689FCE"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After baseline procedures have been established, RAN3 to discuss the benefit and whether to support </w:t>
                      </w:r>
                      <w:proofErr w:type="spellStart"/>
                      <w:r w:rsidRPr="000F39B0">
                        <w:rPr>
                          <w:rFonts w:ascii="Calibri" w:hAnsi="Calibri" w:cs="Calibri"/>
                          <w:i/>
                          <w:iCs/>
                          <w:color w:val="00B050"/>
                          <w:kern w:val="2"/>
                          <w:sz w:val="16"/>
                          <w:szCs w:val="16"/>
                        </w:rPr>
                        <w:t>signaling</w:t>
                      </w:r>
                      <w:proofErr w:type="spellEnd"/>
                      <w:r w:rsidRPr="000F39B0">
                        <w:rPr>
                          <w:rFonts w:ascii="Calibri" w:hAnsi="Calibri" w:cs="Calibri"/>
                          <w:i/>
                          <w:iCs/>
                          <w:color w:val="00B050"/>
                          <w:kern w:val="2"/>
                          <w:sz w:val="16"/>
                          <w:szCs w:val="16"/>
                        </w:rPr>
                        <w:t xml:space="preserve"> of information related to multiple UE contexts in a single message for UE handover preparation, path switch, and context release procedures.</w:t>
                      </w:r>
                    </w:p>
                    <w:p w14:paraId="71C7747B"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As the baseline, F1 establishment and configuration of the new logical DU follows legacy procedures. </w:t>
                      </w:r>
                    </w:p>
                    <w:p w14:paraId="0BCC79F0" w14:textId="77777777" w:rsidR="005210A7" w:rsidRPr="000F39B0" w:rsidRDefault="005210A7" w:rsidP="005210A7">
                      <w:pPr>
                        <w:widowControl w:val="0"/>
                        <w:ind w:left="144" w:hanging="144"/>
                        <w:rPr>
                          <w:rFonts w:ascii="Calibri" w:hAnsi="Calibri" w:cs="Calibri"/>
                          <w:i/>
                          <w:iCs/>
                          <w:color w:val="00B050"/>
                          <w:kern w:val="2"/>
                          <w:sz w:val="16"/>
                          <w:szCs w:val="16"/>
                        </w:rPr>
                      </w:pPr>
                      <w:r w:rsidRPr="0033697B">
                        <w:rPr>
                          <w:rFonts w:ascii="Calibri" w:hAnsi="Calibri" w:cs="Calibri"/>
                          <w:i/>
                          <w:iCs/>
                          <w:color w:val="00B050"/>
                          <w:kern w:val="2"/>
                          <w:sz w:val="16"/>
                          <w:szCs w:val="16"/>
                        </w:rPr>
                        <w:t>RAN3 to discuss whether and which information can be shared between two logical DUs in case of IAB-DU migration.</w:t>
                      </w:r>
                    </w:p>
                    <w:p w14:paraId="3E6EAB5A"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RAN3 to discuss which of the OAM-configured and network-configured parameters may be pre-configured at a mobile IAB-node, after a baseline procedure for IAB-DU migration is developed.</w:t>
                      </w:r>
                    </w:p>
                    <w:p w14:paraId="36B07A41"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Source donor CU of mobile IAB-MT informs the target donor CU of mobile IAB-MT that the migrating node is a mobile IAB-node, via explicit indication in </w:t>
                      </w:r>
                      <w:proofErr w:type="spellStart"/>
                      <w:r w:rsidRPr="000F39B0">
                        <w:rPr>
                          <w:rFonts w:ascii="Calibri" w:hAnsi="Calibri" w:cs="Calibri"/>
                          <w:i/>
                          <w:iCs/>
                          <w:color w:val="00B050"/>
                          <w:kern w:val="2"/>
                          <w:sz w:val="16"/>
                          <w:szCs w:val="16"/>
                        </w:rPr>
                        <w:t>XnAP</w:t>
                      </w:r>
                      <w:proofErr w:type="spellEnd"/>
                      <w:r w:rsidRPr="000F39B0">
                        <w:rPr>
                          <w:rFonts w:ascii="Calibri" w:hAnsi="Calibri" w:cs="Calibri"/>
                          <w:i/>
                          <w:iCs/>
                          <w:color w:val="00B050"/>
                          <w:kern w:val="2"/>
                          <w:sz w:val="16"/>
                          <w:szCs w:val="16"/>
                        </w:rPr>
                        <w:t xml:space="preserve"> HO Request message.</w:t>
                      </w:r>
                    </w:p>
                    <w:p w14:paraId="77F2EC85" w14:textId="0EB2098E" w:rsidR="005210A7" w:rsidRPr="005210A7"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RAN3 to discuss whether source donor should know whether the target cell belongs to a </w:t>
                      </w:r>
                      <w:proofErr w:type="spellStart"/>
                      <w:r w:rsidRPr="000F39B0">
                        <w:rPr>
                          <w:rFonts w:ascii="Calibri" w:hAnsi="Calibri" w:cs="Calibri"/>
                          <w:i/>
                          <w:iCs/>
                          <w:color w:val="00B050"/>
                          <w:kern w:val="2"/>
                          <w:sz w:val="16"/>
                          <w:szCs w:val="16"/>
                        </w:rPr>
                        <w:t>mIAB</w:t>
                      </w:r>
                      <w:proofErr w:type="spellEnd"/>
                      <w:r w:rsidRPr="000F39B0">
                        <w:rPr>
                          <w:rFonts w:ascii="Calibri" w:hAnsi="Calibri" w:cs="Calibri"/>
                          <w:i/>
                          <w:iCs/>
                          <w:color w:val="00B050"/>
                          <w:kern w:val="2"/>
                          <w:sz w:val="16"/>
                          <w:szCs w:val="16"/>
                        </w:rPr>
                        <w:t>-Node.</w:t>
                      </w:r>
                    </w:p>
                    <w:p w14:paraId="62F6C75D" w14:textId="6AB56403" w:rsidR="00693037" w:rsidRPr="00693037" w:rsidRDefault="00693037" w:rsidP="00693037">
                      <w:pPr>
                        <w:widowControl w:val="0"/>
                        <w:ind w:left="144" w:hanging="144"/>
                        <w:rPr>
                          <w:rFonts w:ascii="Calibri" w:hAnsi="Calibri" w:cs="Calibri"/>
                          <w:i/>
                          <w:color w:val="FF0000"/>
                          <w:sz w:val="16"/>
                          <w:szCs w:val="16"/>
                        </w:rPr>
                      </w:pPr>
                      <w:r w:rsidRPr="00D4695C">
                        <w:rPr>
                          <w:rFonts w:ascii="Calibri" w:hAnsi="Calibri" w:cs="Calibri"/>
                          <w:i/>
                          <w:color w:val="FF0000"/>
                          <w:sz w:val="16"/>
                          <w:szCs w:val="16"/>
                        </w:rPr>
                        <w:t>RAN3#118:</w:t>
                      </w:r>
                    </w:p>
                    <w:p w14:paraId="711B6396" w14:textId="35E6667E" w:rsidR="00693037" w:rsidRPr="00D4695C" w:rsidRDefault="00693037" w:rsidP="00693037">
                      <w:pPr>
                        <w:widowControl w:val="0"/>
                        <w:ind w:left="144" w:hanging="144"/>
                        <w:rPr>
                          <w:rFonts w:ascii="Calibri" w:hAnsi="Calibri" w:cs="Calibri"/>
                          <w:i/>
                          <w:iCs/>
                          <w:color w:val="00B050"/>
                          <w:kern w:val="2"/>
                          <w:sz w:val="16"/>
                          <w:szCs w:val="16"/>
                          <w:u w:val="single"/>
                        </w:rPr>
                      </w:pPr>
                      <w:r w:rsidRPr="00D4695C">
                        <w:rPr>
                          <w:rFonts w:ascii="Calibri" w:hAnsi="Calibri" w:cs="Calibri"/>
                          <w:i/>
                          <w:iCs/>
                          <w:color w:val="00B050"/>
                          <w:kern w:val="2"/>
                          <w:sz w:val="16"/>
                          <w:szCs w:val="16"/>
                          <w:u w:val="single"/>
                        </w:rPr>
                        <w:t>Dynamic TACs:</w:t>
                      </w:r>
                    </w:p>
                    <w:p w14:paraId="42C866D4"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Static TAC solution is not pursued. </w:t>
                      </w:r>
                    </w:p>
                    <w:p w14:paraId="1D1DBE3E"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RAN3 assumes that dynamic TAC solution should be supported. </w:t>
                      </w:r>
                    </w:p>
                    <w:p w14:paraId="1918013B"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RAN3 to continue discussions on impacts (if any) of dynamic TAC solutions on RAN3 specs </w:t>
                      </w:r>
                    </w:p>
                    <w:p w14:paraId="48F3EA75" w14:textId="14F322A6" w:rsidR="00693037"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Send </w:t>
                      </w:r>
                      <w:proofErr w:type="gramStart"/>
                      <w:r w:rsidRPr="00D4695C">
                        <w:rPr>
                          <w:rFonts w:ascii="Calibri" w:hAnsi="Calibri" w:cs="Calibri"/>
                          <w:i/>
                          <w:iCs/>
                          <w:color w:val="00B050"/>
                          <w:kern w:val="2"/>
                          <w:sz w:val="16"/>
                          <w:szCs w:val="16"/>
                        </w:rPr>
                        <w:t>an</w:t>
                      </w:r>
                      <w:proofErr w:type="gramEnd"/>
                      <w:r w:rsidRPr="00D4695C">
                        <w:rPr>
                          <w:rFonts w:ascii="Calibri" w:hAnsi="Calibri" w:cs="Calibri"/>
                          <w:i/>
                          <w:iCs/>
                          <w:color w:val="00B050"/>
                          <w:kern w:val="2"/>
                          <w:sz w:val="16"/>
                          <w:szCs w:val="16"/>
                        </w:rPr>
                        <w:t xml:space="preserve"> LS to RAN2 (include SA2 in To) informing RAN2 of the decisions taken by RAN3</w:t>
                      </w:r>
                    </w:p>
                    <w:p w14:paraId="5CFEDF30" w14:textId="77777777" w:rsidR="0033697B" w:rsidRDefault="0033697B" w:rsidP="0033697B">
                      <w:pPr>
                        <w:widowControl w:val="0"/>
                        <w:rPr>
                          <w:rFonts w:ascii="Calibri" w:hAnsi="Calibri" w:cs="Calibri"/>
                          <w:i/>
                          <w:color w:val="FF0000"/>
                          <w:sz w:val="16"/>
                          <w:szCs w:val="16"/>
                        </w:rPr>
                      </w:pPr>
                      <w:r>
                        <w:rPr>
                          <w:rFonts w:ascii="Calibri" w:hAnsi="Calibri" w:cs="Calibri"/>
                          <w:i/>
                          <w:color w:val="FF0000"/>
                          <w:sz w:val="16"/>
                          <w:szCs w:val="16"/>
                        </w:rPr>
                        <w:t>RAN3#119:</w:t>
                      </w:r>
                    </w:p>
                    <w:p w14:paraId="38C52368" w14:textId="77777777" w:rsidR="0033697B" w:rsidRPr="00CE4D48" w:rsidRDefault="0033697B" w:rsidP="0033697B">
                      <w:pPr>
                        <w:widowControl w:val="0"/>
                        <w:ind w:left="144" w:hanging="144"/>
                        <w:rPr>
                          <w:rFonts w:ascii="Calibri" w:hAnsi="Calibri" w:cs="Calibri"/>
                          <w:i/>
                          <w:iCs/>
                          <w:color w:val="00B050"/>
                          <w:kern w:val="2"/>
                          <w:sz w:val="16"/>
                          <w:szCs w:val="16"/>
                        </w:rPr>
                      </w:pPr>
                      <w:r w:rsidRPr="00CE4D48">
                        <w:rPr>
                          <w:rFonts w:ascii="Calibri" w:hAnsi="Calibri" w:cs="Calibri"/>
                          <w:i/>
                          <w:iCs/>
                          <w:color w:val="00B050"/>
                          <w:kern w:val="2"/>
                          <w:sz w:val="16"/>
                          <w:szCs w:val="16"/>
                        </w:rPr>
                        <w:t xml:space="preserve">With respect to </w:t>
                      </w:r>
                      <w:proofErr w:type="spellStart"/>
                      <w:r w:rsidRPr="00CE4D48">
                        <w:rPr>
                          <w:rFonts w:ascii="Calibri" w:hAnsi="Calibri" w:cs="Calibri"/>
                          <w:i/>
                          <w:iCs/>
                          <w:color w:val="00B050"/>
                          <w:kern w:val="2"/>
                          <w:sz w:val="16"/>
                          <w:szCs w:val="16"/>
                        </w:rPr>
                        <w:t>mIAB</w:t>
                      </w:r>
                      <w:proofErr w:type="spellEnd"/>
                      <w:r w:rsidRPr="00CE4D48">
                        <w:rPr>
                          <w:rFonts w:ascii="Calibri" w:hAnsi="Calibri" w:cs="Calibri"/>
                          <w:i/>
                          <w:iCs/>
                          <w:color w:val="00B050"/>
                          <w:kern w:val="2"/>
                          <w:sz w:val="16"/>
                          <w:szCs w:val="16"/>
                        </w:rPr>
                        <w:t>-DU migration and partial migration, RAN3 to discuss how the mobile IAB-DU’s parameters are (re-)configured.</w:t>
                      </w:r>
                    </w:p>
                    <w:p w14:paraId="7DEC26FE" w14:textId="77777777" w:rsidR="0033697B" w:rsidRDefault="0033697B" w:rsidP="0033697B">
                      <w:pPr>
                        <w:widowControl w:val="0"/>
                        <w:rPr>
                          <w:rFonts w:ascii="Calibri" w:hAnsi="Calibri" w:cs="Calibri"/>
                          <w:i/>
                          <w:iCs/>
                          <w:color w:val="00B050"/>
                          <w:kern w:val="2"/>
                          <w:sz w:val="16"/>
                          <w:szCs w:val="16"/>
                        </w:rPr>
                      </w:pPr>
                      <w:r w:rsidRPr="00CE4D48">
                        <w:rPr>
                          <w:rFonts w:ascii="Calibri" w:hAnsi="Calibri" w:cs="Calibri"/>
                          <w:i/>
                          <w:iCs/>
                          <w:color w:val="00B050"/>
                          <w:kern w:val="2"/>
                          <w:sz w:val="16"/>
                          <w:szCs w:val="16"/>
                        </w:rPr>
                        <w:t xml:space="preserve">Capture on stage 2 that the TAC/RANAC broadcast by the mobile IAB-DU can be changed in order to reflect the </w:t>
                      </w:r>
                      <w:proofErr w:type="spellStart"/>
                      <w:r w:rsidRPr="00CE4D48">
                        <w:rPr>
                          <w:rFonts w:ascii="Calibri" w:hAnsi="Calibri" w:cs="Calibri"/>
                          <w:i/>
                          <w:iCs/>
                          <w:color w:val="00B050"/>
                          <w:kern w:val="2"/>
                          <w:sz w:val="16"/>
                          <w:szCs w:val="16"/>
                        </w:rPr>
                        <w:t>mIAB</w:t>
                      </w:r>
                      <w:proofErr w:type="spellEnd"/>
                      <w:r w:rsidRPr="00CE4D48">
                        <w:rPr>
                          <w:rFonts w:ascii="Calibri" w:hAnsi="Calibri" w:cs="Calibri"/>
                          <w:i/>
                          <w:iCs/>
                          <w:color w:val="00B050"/>
                          <w:kern w:val="2"/>
                          <w:sz w:val="16"/>
                          <w:szCs w:val="16"/>
                        </w:rPr>
                        <w:t xml:space="preserve">-node’s physical location. It needs to be further discussed how the mobile IAB-DU’s TAC/RANAC is changed and what Stage 3 impacts are (if any). </w:t>
                      </w:r>
                    </w:p>
                    <w:p w14:paraId="1DAA16A3" w14:textId="42438F75" w:rsidR="00693037" w:rsidRDefault="00693037" w:rsidP="00693037"/>
                  </w:txbxContent>
                </v:textbox>
                <w10:wrap type="topAndBottom"/>
              </v:shape>
            </w:pict>
          </mc:Fallback>
        </mc:AlternateContent>
      </w:r>
      <w:r w:rsidR="00E6028F" w:rsidRPr="00693037">
        <w:rPr>
          <w:sz w:val="22"/>
        </w:rPr>
        <w:t xml:space="preserve">In this contribution, we’d like to discuss the mobility enhancement based on the </w:t>
      </w:r>
      <w:r w:rsidR="00FF2F2C">
        <w:rPr>
          <w:sz w:val="22"/>
        </w:rPr>
        <w:t>previous</w:t>
      </w:r>
      <w:r w:rsidR="00E6028F" w:rsidRPr="00693037">
        <w:rPr>
          <w:sz w:val="22"/>
        </w:rPr>
        <w:t xml:space="preserve"> RAN3 agreements as below</w:t>
      </w:r>
      <w:r w:rsidR="00693037">
        <w:rPr>
          <w:sz w:val="22"/>
        </w:rPr>
        <w:t>.</w:t>
      </w:r>
    </w:p>
    <w:p w14:paraId="22B54925" w14:textId="6F0138C0" w:rsidR="005F6DE2" w:rsidRPr="009932F2" w:rsidRDefault="005F6DE2" w:rsidP="007D321F">
      <w:pPr>
        <w:widowControl w:val="0"/>
        <w:ind w:left="144" w:hanging="144"/>
        <w:rPr>
          <w:sz w:val="22"/>
        </w:rPr>
      </w:pPr>
      <w:r w:rsidRPr="009932F2">
        <w:rPr>
          <w:sz w:val="22"/>
        </w:rPr>
        <w:t>The following aspects are discussed in this contribution:</w:t>
      </w:r>
    </w:p>
    <w:p w14:paraId="3A14CB75" w14:textId="62D37633" w:rsidR="005F6DE2" w:rsidRPr="009932F2" w:rsidRDefault="005210A7" w:rsidP="00426394">
      <w:pPr>
        <w:pStyle w:val="Agreement"/>
        <w:numPr>
          <w:ilvl w:val="0"/>
          <w:numId w:val="0"/>
        </w:numPr>
        <w:tabs>
          <w:tab w:val="left" w:pos="720"/>
        </w:tabs>
        <w:spacing w:line="360" w:lineRule="auto"/>
        <w:rPr>
          <w:rFonts w:ascii="Times New Roman" w:hAnsi="Times New Roman"/>
          <w:b w:val="0"/>
          <w:sz w:val="22"/>
        </w:rPr>
      </w:pPr>
      <w:r w:rsidRPr="009932F2">
        <w:rPr>
          <w:rFonts w:ascii="Times New Roman" w:hAnsi="Times New Roman"/>
          <w:b w:val="0"/>
          <w:sz w:val="22"/>
          <w:u w:val="single"/>
        </w:rPr>
        <w:t xml:space="preserve">UE mobility procedure enhancement </w:t>
      </w:r>
    </w:p>
    <w:p w14:paraId="538BC816" w14:textId="77777777" w:rsidR="005210A7" w:rsidRPr="009932F2" w:rsidRDefault="005210A7" w:rsidP="00426394">
      <w:pPr>
        <w:pStyle w:val="Doc-text2"/>
        <w:spacing w:line="360" w:lineRule="auto"/>
        <w:ind w:left="363"/>
        <w:rPr>
          <w:rFonts w:ascii="Times New Roman" w:hAnsi="Times New Roman"/>
          <w:sz w:val="22"/>
          <w:u w:val="single"/>
        </w:rPr>
      </w:pPr>
      <w:r w:rsidRPr="009932F2">
        <w:rPr>
          <w:rFonts w:ascii="Times New Roman" w:hAnsi="Times New Roman"/>
          <w:sz w:val="22"/>
          <w:u w:val="single"/>
        </w:rPr>
        <w:t xml:space="preserve">Onboard UE identification </w:t>
      </w:r>
    </w:p>
    <w:p w14:paraId="72500C9F" w14:textId="4344BE68" w:rsidR="00A757D7" w:rsidRPr="009932F2" w:rsidRDefault="005210A7" w:rsidP="00426394">
      <w:pPr>
        <w:pStyle w:val="Doc-text2"/>
        <w:spacing w:line="360" w:lineRule="auto"/>
        <w:ind w:left="363"/>
        <w:rPr>
          <w:rFonts w:ascii="Times New Roman" w:hAnsi="Times New Roman"/>
          <w:sz w:val="22"/>
          <w:u w:val="single"/>
        </w:rPr>
      </w:pPr>
      <w:r w:rsidRPr="009932F2">
        <w:rPr>
          <w:rFonts w:ascii="Times New Roman" w:hAnsi="Times New Roman"/>
          <w:sz w:val="22"/>
          <w:u w:val="single"/>
        </w:rPr>
        <w:t xml:space="preserve">Dynamic </w:t>
      </w:r>
      <w:r w:rsidR="00A757D7" w:rsidRPr="009932F2">
        <w:rPr>
          <w:rFonts w:ascii="Times New Roman" w:hAnsi="Times New Roman"/>
          <w:sz w:val="22"/>
          <w:u w:val="single"/>
        </w:rPr>
        <w:t>TAC</w:t>
      </w:r>
    </w:p>
    <w:p w14:paraId="3F49794B" w14:textId="0E458E2A" w:rsidR="005210A7" w:rsidRPr="009932F2" w:rsidRDefault="005210A7" w:rsidP="00426394">
      <w:pPr>
        <w:pStyle w:val="Doc-text2"/>
        <w:spacing w:line="360" w:lineRule="auto"/>
        <w:ind w:left="363"/>
        <w:rPr>
          <w:rFonts w:ascii="Times New Roman" w:hAnsi="Times New Roman"/>
          <w:sz w:val="22"/>
          <w:u w:val="single"/>
        </w:rPr>
      </w:pPr>
      <w:r w:rsidRPr="009932F2">
        <w:rPr>
          <w:rFonts w:ascii="Times New Roman" w:hAnsi="Times New Roman"/>
          <w:sz w:val="22"/>
          <w:u w:val="single"/>
        </w:rPr>
        <w:t>Configuration of NCGI</w:t>
      </w:r>
    </w:p>
    <w:p w14:paraId="479DA40B" w14:textId="2DCD1A2E" w:rsidR="00CD4C7B" w:rsidRDefault="00CD4C7B" w:rsidP="005F6DE2">
      <w:pPr>
        <w:pStyle w:val="1"/>
      </w:pPr>
      <w:r w:rsidRPr="006E13D1">
        <w:lastRenderedPageBreak/>
        <w:t>2</w:t>
      </w:r>
      <w:r w:rsidRPr="006E13D1">
        <w:tab/>
      </w:r>
      <w:r w:rsidR="00972FD7">
        <w:t>Discussion</w:t>
      </w:r>
    </w:p>
    <w:p w14:paraId="79095FA4" w14:textId="1B1C496A" w:rsidR="004D3B71" w:rsidRPr="004D3B71" w:rsidRDefault="00B521D0" w:rsidP="0033697B">
      <w:pPr>
        <w:pStyle w:val="2"/>
        <w:ind w:left="0" w:firstLine="0"/>
      </w:pPr>
      <w:bookmarkStart w:id="0" w:name="_Hlk109747344"/>
      <w:r w:rsidRPr="00971F47">
        <w:t xml:space="preserve">2.1 </w:t>
      </w:r>
      <w:r>
        <w:t>UE mobility procedure enhancement</w:t>
      </w:r>
    </w:p>
    <w:p w14:paraId="5C9B3103" w14:textId="01CC06F6" w:rsidR="004D3B71" w:rsidRPr="0033697B" w:rsidRDefault="002E67D2" w:rsidP="002E67D2">
      <w:pPr>
        <w:widowControl w:val="0"/>
        <w:rPr>
          <w:rFonts w:eastAsia="MS Mincho"/>
          <w:lang w:eastAsia="en-GB"/>
        </w:rPr>
      </w:pPr>
      <w:r w:rsidRPr="0033697B">
        <w:rPr>
          <w:rFonts w:eastAsia="MS Mincho"/>
          <w:lang w:eastAsia="en-GB"/>
        </w:rPr>
        <w:t xml:space="preserve">The below Figure 1 shows procedures of UE handover by using legacy signalling. After </w:t>
      </w:r>
      <w:r w:rsidR="004D3B71" w:rsidRPr="0033697B">
        <w:rPr>
          <w:rFonts w:eastAsia="MS Mincho"/>
          <w:lang w:eastAsia="en-GB"/>
        </w:rPr>
        <w:t>IAB-DU2’s setup and F1 setup, the UEs served by IAB-DU1 need to be handed over to IAB-DU2</w:t>
      </w:r>
      <w:r w:rsidRPr="0033697B">
        <w:rPr>
          <w:rFonts w:eastAsia="MS Mincho"/>
          <w:lang w:eastAsia="en-GB"/>
        </w:rPr>
        <w:t>, from</w:t>
      </w:r>
      <w:r w:rsidR="00BA71FF" w:rsidRPr="0033697B">
        <w:rPr>
          <w:rFonts w:eastAsia="MS Mincho"/>
          <w:lang w:eastAsia="en-GB"/>
        </w:rPr>
        <w:t xml:space="preserve"> logical function point of view, all the signalling</w:t>
      </w:r>
      <w:r w:rsidRPr="0033697B">
        <w:rPr>
          <w:rFonts w:eastAsia="MS Mincho"/>
          <w:lang w:eastAsia="en-GB"/>
        </w:rPr>
        <w:t xml:space="preserve"> in figure 1</w:t>
      </w:r>
      <w:r w:rsidR="00BA71FF" w:rsidRPr="0033697B">
        <w:rPr>
          <w:rFonts w:eastAsia="MS Mincho"/>
          <w:lang w:eastAsia="en-GB"/>
        </w:rPr>
        <w:t xml:space="preserve"> are needed, but if from deployment point of view, some </w:t>
      </w:r>
      <w:r w:rsidR="00693037" w:rsidRPr="0033697B">
        <w:rPr>
          <w:rFonts w:eastAsia="MS Mincho"/>
          <w:lang w:eastAsia="en-GB"/>
        </w:rPr>
        <w:t>signalling</w:t>
      </w:r>
      <w:r w:rsidR="00BA71FF" w:rsidRPr="0033697B">
        <w:rPr>
          <w:rFonts w:eastAsia="MS Mincho"/>
          <w:lang w:eastAsia="en-GB"/>
        </w:rPr>
        <w:t xml:space="preserve"> can be </w:t>
      </w:r>
      <w:r w:rsidRPr="0033697B">
        <w:rPr>
          <w:rFonts w:eastAsia="MS Mincho"/>
          <w:lang w:eastAsia="en-GB"/>
        </w:rPr>
        <w:t>saved</w:t>
      </w:r>
      <w:r w:rsidR="00BA71FF" w:rsidRPr="0033697B">
        <w:rPr>
          <w:rFonts w:eastAsia="MS Mincho"/>
          <w:lang w:eastAsia="en-GB"/>
        </w:rPr>
        <w:t xml:space="preserve">, since IAB-DU1 and IAB-DU2 are co-located in the same IAB-node, IAB-DU1 can be aware of </w:t>
      </w:r>
      <w:r w:rsidRPr="0033697B">
        <w:rPr>
          <w:rFonts w:eastAsia="MS Mincho"/>
          <w:lang w:eastAsia="en-GB"/>
        </w:rPr>
        <w:t>whether UE access</w:t>
      </w:r>
      <w:r w:rsidR="005210A7" w:rsidRPr="0033697B">
        <w:rPr>
          <w:rFonts w:eastAsia="MS Mincho"/>
          <w:lang w:eastAsia="en-GB"/>
        </w:rPr>
        <w:t xml:space="preserve"> to</w:t>
      </w:r>
      <w:r w:rsidRPr="0033697B">
        <w:rPr>
          <w:rFonts w:eastAsia="MS Mincho"/>
          <w:lang w:eastAsia="en-GB"/>
        </w:rPr>
        <w:t xml:space="preserve"> IAB-DU2</w:t>
      </w:r>
      <w:r w:rsidR="00BA71FF" w:rsidRPr="0033697B">
        <w:rPr>
          <w:rFonts w:eastAsia="MS Mincho"/>
          <w:lang w:eastAsia="en-GB"/>
        </w:rPr>
        <w:t>. So, in our view, the signalling in step 11</w:t>
      </w:r>
      <w:r w:rsidR="005210A7" w:rsidRPr="0033697B">
        <w:rPr>
          <w:rFonts w:eastAsia="MS Mincho"/>
          <w:lang w:eastAsia="en-GB"/>
        </w:rPr>
        <w:t xml:space="preserve"> </w:t>
      </w:r>
      <w:r w:rsidR="00BA71FF" w:rsidRPr="0033697B">
        <w:rPr>
          <w:rFonts w:eastAsia="MS Mincho"/>
          <w:lang w:eastAsia="en-GB"/>
        </w:rPr>
        <w:t xml:space="preserve">and step 12 can be saved, since IAB-DU1 can know whether all the UEs access </w:t>
      </w:r>
      <w:r w:rsidR="00617F58" w:rsidRPr="0033697B">
        <w:rPr>
          <w:rFonts w:eastAsia="MS Mincho"/>
          <w:lang w:eastAsia="en-GB"/>
        </w:rPr>
        <w:t xml:space="preserve">to </w:t>
      </w:r>
      <w:r w:rsidR="00BA71FF" w:rsidRPr="0033697B">
        <w:rPr>
          <w:rFonts w:eastAsia="MS Mincho"/>
          <w:lang w:eastAsia="en-GB"/>
        </w:rPr>
        <w:t xml:space="preserve">the IAB-DU2, </w:t>
      </w:r>
      <w:r w:rsidRPr="0033697B">
        <w:rPr>
          <w:rFonts w:eastAsia="MS Mincho"/>
          <w:lang w:eastAsia="en-GB"/>
        </w:rPr>
        <w:t>and</w:t>
      </w:r>
      <w:r w:rsidR="00BA71FF" w:rsidRPr="0033697B">
        <w:rPr>
          <w:rFonts w:eastAsia="MS Mincho"/>
          <w:lang w:eastAsia="en-GB"/>
        </w:rPr>
        <w:t xml:space="preserve"> IAB-DU1 can release the UE context</w:t>
      </w:r>
      <w:r w:rsidR="00617F58" w:rsidRPr="0033697B">
        <w:rPr>
          <w:rFonts w:eastAsia="MS Mincho"/>
          <w:lang w:eastAsia="en-GB"/>
        </w:rPr>
        <w:t xml:space="preserve"> </w:t>
      </w:r>
      <w:r w:rsidR="00441022" w:rsidRPr="0033697B">
        <w:rPr>
          <w:rFonts w:eastAsia="MS Mincho"/>
          <w:lang w:eastAsia="en-GB"/>
        </w:rPr>
        <w:t xml:space="preserve">without </w:t>
      </w:r>
      <w:r w:rsidR="005210A7" w:rsidRPr="0033697B">
        <w:rPr>
          <w:rFonts w:eastAsia="MS Mincho"/>
          <w:lang w:eastAsia="en-GB"/>
        </w:rPr>
        <w:t>the further indication</w:t>
      </w:r>
      <w:r w:rsidR="00441022" w:rsidRPr="0033697B">
        <w:rPr>
          <w:rFonts w:eastAsia="MS Mincho"/>
          <w:lang w:eastAsia="en-GB"/>
        </w:rPr>
        <w:t xml:space="preserve"> from IAB-donor-CU, and the IAB-donor-CU of the IAB-DU1 should be informed about the UE context release in IAB-DU1, so that it will not trigger F1 UE context release procedures, the possible procedures and signalling are shown in Figure 2.</w:t>
      </w:r>
    </w:p>
    <w:p w14:paraId="3FC3D799" w14:textId="5F38C0C3" w:rsidR="004D3B71" w:rsidRPr="0033697B" w:rsidRDefault="00441022" w:rsidP="007E0464">
      <w:pPr>
        <w:pStyle w:val="Agreement"/>
        <w:numPr>
          <w:ilvl w:val="0"/>
          <w:numId w:val="0"/>
        </w:numPr>
        <w:tabs>
          <w:tab w:val="left" w:pos="0"/>
        </w:tabs>
        <w:ind w:right="-1132" w:hanging="426"/>
        <w:rPr>
          <w:rFonts w:ascii="Times New Roman" w:hAnsi="Times New Roman"/>
          <w:b w:val="0"/>
          <w:szCs w:val="20"/>
          <w:u w:val="single"/>
        </w:rPr>
      </w:pPr>
      <w:r w:rsidRPr="0033697B">
        <w:rPr>
          <w:szCs w:val="20"/>
        </w:rPr>
        <w:object w:dxaOrig="10900" w:dyaOrig="8580" w14:anchorId="77385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pt;height:207.7pt" o:ole="">
            <v:imagedata r:id="rId8" o:title=""/>
          </v:shape>
          <o:OLEObject Type="Embed" ProgID="Visio.Drawing.15" ShapeID="_x0000_i1025" DrawAspect="Content" ObjectID="_1742377440" r:id="rId9"/>
        </w:object>
      </w:r>
      <w:r w:rsidR="002D4676" w:rsidRPr="0033697B">
        <w:rPr>
          <w:szCs w:val="20"/>
        </w:rPr>
        <w:object w:dxaOrig="10871" w:dyaOrig="8580" w14:anchorId="4DF3D0F9">
          <v:shape id="_x0000_i1026" type="#_x0000_t75" style="width:262.6pt;height:206.85pt" o:ole="">
            <v:imagedata r:id="rId10" o:title=""/>
          </v:shape>
          <o:OLEObject Type="Embed" ProgID="Visio.Drawing.15" ShapeID="_x0000_i1026" DrawAspect="Content" ObjectID="_1742377441" r:id="rId11"/>
        </w:object>
      </w:r>
    </w:p>
    <w:p w14:paraId="5836031C" w14:textId="1049FC07" w:rsidR="004D3B71" w:rsidRPr="0033697B" w:rsidRDefault="00441022" w:rsidP="00441022">
      <w:pPr>
        <w:pStyle w:val="ac"/>
        <w:rPr>
          <w:b/>
          <w:sz w:val="20"/>
          <w:szCs w:val="20"/>
          <w:u w:val="single"/>
        </w:rPr>
      </w:pPr>
      <w:r w:rsidRPr="0033697B">
        <w:rPr>
          <w:i w:val="0"/>
          <w:sz w:val="20"/>
          <w:szCs w:val="20"/>
        </w:rPr>
        <w:t xml:space="preserve">                 </w:t>
      </w:r>
      <w:r w:rsidRPr="0033697B">
        <w:rPr>
          <w:b/>
          <w:sz w:val="20"/>
          <w:szCs w:val="20"/>
        </w:rPr>
        <w:t xml:space="preserve">  </w:t>
      </w:r>
      <w:r w:rsidRPr="0033697B">
        <w:rPr>
          <w:sz w:val="20"/>
          <w:szCs w:val="20"/>
        </w:rPr>
        <w:t xml:space="preserve">Figure </w:t>
      </w:r>
      <w:r w:rsidRPr="0033697B">
        <w:rPr>
          <w:sz w:val="20"/>
          <w:szCs w:val="20"/>
        </w:rPr>
        <w:fldChar w:fldCharType="begin"/>
      </w:r>
      <w:r w:rsidRPr="0033697B">
        <w:rPr>
          <w:sz w:val="20"/>
          <w:szCs w:val="20"/>
        </w:rPr>
        <w:instrText xml:space="preserve"> SEQ Figure \* ARABIC </w:instrText>
      </w:r>
      <w:r w:rsidRPr="0033697B">
        <w:rPr>
          <w:sz w:val="20"/>
          <w:szCs w:val="20"/>
        </w:rPr>
        <w:fldChar w:fldCharType="separate"/>
      </w:r>
      <w:r w:rsidRPr="0033697B">
        <w:rPr>
          <w:noProof/>
          <w:sz w:val="20"/>
          <w:szCs w:val="20"/>
        </w:rPr>
        <w:t>1</w:t>
      </w:r>
      <w:r w:rsidRPr="0033697B">
        <w:rPr>
          <w:sz w:val="20"/>
          <w:szCs w:val="20"/>
        </w:rPr>
        <w:fldChar w:fldCharType="end"/>
      </w:r>
      <w:r w:rsidRPr="0033697B">
        <w:rPr>
          <w:sz w:val="20"/>
          <w:szCs w:val="20"/>
        </w:rPr>
        <w:t xml:space="preserve"> UE handover in legacy signalling                                          Figure </w:t>
      </w:r>
      <w:r w:rsidRPr="0033697B">
        <w:rPr>
          <w:sz w:val="20"/>
          <w:szCs w:val="20"/>
        </w:rPr>
        <w:fldChar w:fldCharType="begin"/>
      </w:r>
      <w:r w:rsidRPr="0033697B">
        <w:rPr>
          <w:sz w:val="20"/>
          <w:szCs w:val="20"/>
        </w:rPr>
        <w:instrText xml:space="preserve"> SEQ Figure \* ARABIC </w:instrText>
      </w:r>
      <w:r w:rsidRPr="0033697B">
        <w:rPr>
          <w:sz w:val="20"/>
          <w:szCs w:val="20"/>
        </w:rPr>
        <w:fldChar w:fldCharType="separate"/>
      </w:r>
      <w:r w:rsidRPr="0033697B">
        <w:rPr>
          <w:noProof/>
          <w:sz w:val="20"/>
          <w:szCs w:val="20"/>
        </w:rPr>
        <w:t>2</w:t>
      </w:r>
      <w:r w:rsidRPr="0033697B">
        <w:rPr>
          <w:sz w:val="20"/>
          <w:szCs w:val="20"/>
        </w:rPr>
        <w:fldChar w:fldCharType="end"/>
      </w:r>
      <w:r w:rsidRPr="0033697B">
        <w:rPr>
          <w:sz w:val="20"/>
          <w:szCs w:val="20"/>
        </w:rPr>
        <w:t xml:space="preserve">  UE handover in reduced signalling</w:t>
      </w:r>
    </w:p>
    <w:p w14:paraId="7D04E6B4" w14:textId="77777777" w:rsidR="00B521D0" w:rsidRPr="0033697B" w:rsidRDefault="00B521D0" w:rsidP="00B521D0">
      <w:pPr>
        <w:pStyle w:val="Doc-text2"/>
        <w:ind w:left="0" w:firstLine="0"/>
        <w:rPr>
          <w:rFonts w:ascii="Times New Roman" w:hAnsi="Times New Roman" w:cs="Times New Roman"/>
          <w:szCs w:val="20"/>
        </w:rPr>
      </w:pPr>
    </w:p>
    <w:p w14:paraId="14EEB47E" w14:textId="284C56F0" w:rsidR="00441022" w:rsidRPr="0033697B" w:rsidRDefault="00617F58" w:rsidP="00B521D0">
      <w:pPr>
        <w:rPr>
          <w:b/>
          <w:lang w:eastAsia="zh-CN"/>
        </w:rPr>
      </w:pPr>
      <w:r w:rsidRPr="0033697B">
        <w:rPr>
          <w:b/>
        </w:rPr>
        <w:t>Observation</w:t>
      </w:r>
      <w:r w:rsidR="005210A7" w:rsidRPr="0033697B">
        <w:rPr>
          <w:b/>
        </w:rPr>
        <w:t xml:space="preserve"> 1</w:t>
      </w:r>
      <w:r w:rsidR="00B521D0" w:rsidRPr="0033697B">
        <w:rPr>
          <w:b/>
        </w:rPr>
        <w:t xml:space="preserve">, </w:t>
      </w:r>
      <w:r w:rsidR="00DD7028" w:rsidRPr="0033697B">
        <w:rPr>
          <w:rFonts w:hint="eastAsia"/>
          <w:b/>
          <w:lang w:eastAsia="zh-CN"/>
        </w:rPr>
        <w:t>the</w:t>
      </w:r>
      <w:r w:rsidR="00DD7028" w:rsidRPr="0033697B">
        <w:rPr>
          <w:b/>
        </w:rPr>
        <w:t xml:space="preserve"> </w:t>
      </w:r>
      <w:r w:rsidR="00DD7028" w:rsidRPr="0033697B">
        <w:rPr>
          <w:rFonts w:hint="eastAsia"/>
          <w:b/>
          <w:lang w:eastAsia="zh-CN"/>
        </w:rPr>
        <w:t>difference</w:t>
      </w:r>
      <w:r w:rsidR="00DD7028" w:rsidRPr="0033697B">
        <w:rPr>
          <w:b/>
        </w:rPr>
        <w:t xml:space="preserve"> </w:t>
      </w:r>
      <w:r w:rsidR="00DD7028" w:rsidRPr="0033697B">
        <w:rPr>
          <w:rFonts w:hint="eastAsia"/>
          <w:b/>
          <w:lang w:eastAsia="zh-CN"/>
        </w:rPr>
        <w:t>between</w:t>
      </w:r>
      <w:r w:rsidR="00DD7028" w:rsidRPr="0033697B">
        <w:rPr>
          <w:b/>
        </w:rPr>
        <w:t xml:space="preserve"> </w:t>
      </w:r>
      <w:r w:rsidR="00DD7028" w:rsidRPr="0033697B">
        <w:rPr>
          <w:rFonts w:hint="eastAsia"/>
          <w:b/>
          <w:lang w:eastAsia="zh-CN"/>
        </w:rPr>
        <w:t>legacy</w:t>
      </w:r>
      <w:r w:rsidR="00DD7028" w:rsidRPr="0033697B">
        <w:rPr>
          <w:b/>
        </w:rPr>
        <w:t xml:space="preserve"> UE </w:t>
      </w:r>
      <w:r w:rsidR="00DD7028" w:rsidRPr="0033697B">
        <w:rPr>
          <w:rFonts w:hint="eastAsia"/>
          <w:b/>
          <w:lang w:eastAsia="zh-CN"/>
        </w:rPr>
        <w:t>handover</w:t>
      </w:r>
      <w:r w:rsidR="00DD7028" w:rsidRPr="0033697B">
        <w:rPr>
          <w:b/>
        </w:rPr>
        <w:t xml:space="preserve"> </w:t>
      </w:r>
      <w:r w:rsidR="00DD7028" w:rsidRPr="0033697B">
        <w:rPr>
          <w:rFonts w:hint="eastAsia"/>
          <w:b/>
          <w:lang w:eastAsia="zh-CN"/>
        </w:rPr>
        <w:t>and</w:t>
      </w:r>
      <w:r w:rsidR="00DD7028" w:rsidRPr="0033697B">
        <w:rPr>
          <w:b/>
        </w:rPr>
        <w:t xml:space="preserve"> UE </w:t>
      </w:r>
      <w:r w:rsidR="00DD7028" w:rsidRPr="0033697B">
        <w:rPr>
          <w:rFonts w:hint="eastAsia"/>
          <w:b/>
          <w:lang w:eastAsia="zh-CN"/>
        </w:rPr>
        <w:t>handover</w:t>
      </w:r>
      <w:r w:rsidR="00DD7028" w:rsidRPr="0033697B">
        <w:rPr>
          <w:b/>
        </w:rPr>
        <w:t xml:space="preserve"> </w:t>
      </w:r>
      <w:r w:rsidR="00DD7028" w:rsidRPr="0033697B">
        <w:rPr>
          <w:rFonts w:hint="eastAsia"/>
          <w:b/>
          <w:lang w:eastAsia="zh-CN"/>
        </w:rPr>
        <w:t>in</w:t>
      </w:r>
      <w:r w:rsidR="00DD7028" w:rsidRPr="0033697B">
        <w:rPr>
          <w:b/>
        </w:rPr>
        <w:t xml:space="preserve"> DU </w:t>
      </w:r>
      <w:r w:rsidR="00DD7028" w:rsidRPr="0033697B">
        <w:rPr>
          <w:rFonts w:hint="eastAsia"/>
          <w:b/>
          <w:lang w:eastAsia="zh-CN"/>
        </w:rPr>
        <w:t>migration is</w:t>
      </w:r>
      <w:r w:rsidR="00DD7028" w:rsidRPr="0033697B">
        <w:rPr>
          <w:b/>
          <w:lang w:eastAsia="zh-CN"/>
        </w:rPr>
        <w:t xml:space="preserve"> </w:t>
      </w:r>
      <w:r w:rsidR="00DD7028" w:rsidRPr="0033697B">
        <w:rPr>
          <w:rFonts w:hint="eastAsia"/>
          <w:b/>
          <w:lang w:eastAsia="zh-CN"/>
        </w:rPr>
        <w:t>that</w:t>
      </w:r>
      <w:r w:rsidR="00DD7028" w:rsidRPr="0033697B">
        <w:rPr>
          <w:b/>
          <w:lang w:eastAsia="zh-CN"/>
        </w:rPr>
        <w:t xml:space="preserve"> the source DU</w:t>
      </w:r>
      <w:r w:rsidR="005210A7" w:rsidRPr="0033697B">
        <w:rPr>
          <w:b/>
          <w:lang w:eastAsia="zh-CN"/>
        </w:rPr>
        <w:t xml:space="preserve"> (i.e. IAB-DU1)</w:t>
      </w:r>
      <w:r w:rsidR="00DD7028" w:rsidRPr="0033697B">
        <w:rPr>
          <w:b/>
          <w:lang w:eastAsia="zh-CN"/>
        </w:rPr>
        <w:t xml:space="preserve"> is aware of whether the UE access to the target DU</w:t>
      </w:r>
      <w:r w:rsidR="005210A7" w:rsidRPr="0033697B">
        <w:rPr>
          <w:b/>
          <w:lang w:eastAsia="zh-CN"/>
        </w:rPr>
        <w:t xml:space="preserve"> (i.e. IAB-DU2) </w:t>
      </w:r>
      <w:r w:rsidR="00DD7028" w:rsidRPr="0033697B">
        <w:rPr>
          <w:b/>
          <w:lang w:eastAsia="zh-CN"/>
        </w:rPr>
        <w:t>successfully.</w:t>
      </w:r>
    </w:p>
    <w:p w14:paraId="7BF8FE50" w14:textId="2635590B" w:rsidR="00B2047F" w:rsidRPr="0033697B" w:rsidRDefault="00B2047F" w:rsidP="00B521D0">
      <w:pPr>
        <w:rPr>
          <w:b/>
        </w:rPr>
      </w:pPr>
      <w:r w:rsidRPr="0033697B">
        <w:rPr>
          <w:b/>
        </w:rPr>
        <w:t>Observation</w:t>
      </w:r>
      <w:r w:rsidR="005210A7" w:rsidRPr="0033697B">
        <w:rPr>
          <w:b/>
        </w:rPr>
        <w:t xml:space="preserve"> 2</w:t>
      </w:r>
      <w:r w:rsidRPr="0033697B">
        <w:rPr>
          <w:b/>
        </w:rPr>
        <w:t xml:space="preserve">, if source DU </w:t>
      </w:r>
      <w:r w:rsidR="005210A7" w:rsidRPr="0033697B">
        <w:rPr>
          <w:b/>
          <w:lang w:eastAsia="zh-CN"/>
        </w:rPr>
        <w:t xml:space="preserve">(i.e. IAB-DU1) </w:t>
      </w:r>
      <w:r w:rsidRPr="0033697B">
        <w:rPr>
          <w:b/>
        </w:rPr>
        <w:t>knows that UE access to the target DU</w:t>
      </w:r>
      <w:r w:rsidR="005210A7" w:rsidRPr="0033697B">
        <w:rPr>
          <w:b/>
        </w:rPr>
        <w:t xml:space="preserve"> </w:t>
      </w:r>
      <w:r w:rsidR="005210A7" w:rsidRPr="0033697B">
        <w:rPr>
          <w:b/>
          <w:lang w:eastAsia="zh-CN"/>
        </w:rPr>
        <w:t xml:space="preserve">(i.e. IAB-DU2) </w:t>
      </w:r>
      <w:r w:rsidRPr="0033697B">
        <w:rPr>
          <w:b/>
        </w:rPr>
        <w:t xml:space="preserve">successfully, it can release the UE context without </w:t>
      </w:r>
      <w:r w:rsidR="005210A7" w:rsidRPr="0033697B">
        <w:rPr>
          <w:b/>
        </w:rPr>
        <w:t>further</w:t>
      </w:r>
      <w:r w:rsidRPr="0033697B">
        <w:rPr>
          <w:b/>
        </w:rPr>
        <w:t xml:space="preserve"> indication from the IAB-donor-CU of the source DU, which saves F1 UE context release signalling and reduce the signalling overhead over F1AP and the overall handover latency.</w:t>
      </w:r>
    </w:p>
    <w:p w14:paraId="12549161" w14:textId="085EEF98" w:rsidR="00B2047F" w:rsidRPr="0033697B" w:rsidRDefault="00B2047F" w:rsidP="00B521D0">
      <w:pPr>
        <w:rPr>
          <w:b/>
        </w:rPr>
      </w:pPr>
      <w:r w:rsidRPr="0033697B">
        <w:rPr>
          <w:b/>
        </w:rPr>
        <w:t>Proposal</w:t>
      </w:r>
      <w:r w:rsidR="005210A7" w:rsidRPr="0033697B">
        <w:rPr>
          <w:b/>
        </w:rPr>
        <w:t xml:space="preserve"> 1</w:t>
      </w:r>
      <w:r w:rsidRPr="0033697B">
        <w:rPr>
          <w:b/>
        </w:rPr>
        <w:t>, RAN3 agree that the IAB-DU1 can release the UE context by knowing the UE’s successful access to the IAB-DU2.</w:t>
      </w:r>
    </w:p>
    <w:p w14:paraId="230D6F2C" w14:textId="0EB04C6F" w:rsidR="00B2047F" w:rsidRPr="0033697B" w:rsidRDefault="00B2047F" w:rsidP="00B521D0">
      <w:pPr>
        <w:rPr>
          <w:b/>
        </w:rPr>
      </w:pPr>
      <w:r w:rsidRPr="0033697B">
        <w:rPr>
          <w:b/>
        </w:rPr>
        <w:t>Proposal</w:t>
      </w:r>
      <w:r w:rsidR="005210A7" w:rsidRPr="0033697B">
        <w:rPr>
          <w:b/>
        </w:rPr>
        <w:t xml:space="preserve"> 2</w:t>
      </w:r>
      <w:r w:rsidRPr="0033697B">
        <w:rPr>
          <w:b/>
        </w:rPr>
        <w:t>, RAN3 agree that the IAB-donor-CU of the IAB-DU1 should be informed about the UE context</w:t>
      </w:r>
      <w:r w:rsidR="005210A7" w:rsidRPr="0033697B">
        <w:rPr>
          <w:b/>
        </w:rPr>
        <w:t xml:space="preserve"> release</w:t>
      </w:r>
      <w:r w:rsidRPr="0033697B">
        <w:rPr>
          <w:b/>
        </w:rPr>
        <w:t>, so that it will not trigger the UE context release procedure.</w:t>
      </w:r>
    </w:p>
    <w:p w14:paraId="6AE9E1CD" w14:textId="1592E0B6" w:rsidR="008C0CA2" w:rsidRPr="00971F47" w:rsidRDefault="008C0CA2" w:rsidP="008C0CA2">
      <w:pPr>
        <w:pStyle w:val="2"/>
      </w:pPr>
      <w:r w:rsidRPr="00971F47">
        <w:t>2.</w:t>
      </w:r>
      <w:r>
        <w:t>2</w:t>
      </w:r>
      <w:r w:rsidRPr="00971F47">
        <w:t xml:space="preserve"> </w:t>
      </w:r>
      <w:r w:rsidR="002C4F5C">
        <w:t>Onboard UE identification</w:t>
      </w:r>
      <w:r w:rsidRPr="008C0CA2">
        <w:t xml:space="preserve"> </w:t>
      </w:r>
    </w:p>
    <w:p w14:paraId="008C0177" w14:textId="426CD139" w:rsidR="002C4F5C" w:rsidRPr="0033697B" w:rsidRDefault="002C4F5C" w:rsidP="008C0CA2">
      <w:pPr>
        <w:rPr>
          <w:szCs w:val="21"/>
        </w:rPr>
      </w:pPr>
      <w:r w:rsidRPr="0033697B">
        <w:rPr>
          <w:szCs w:val="21"/>
        </w:rPr>
        <w:t xml:space="preserve">In our understanding, when we taking about UE mobility enhancement, it’s aimed </w:t>
      </w:r>
      <w:r w:rsidR="005210A7" w:rsidRPr="0033697B">
        <w:rPr>
          <w:szCs w:val="21"/>
        </w:rPr>
        <w:t>for</w:t>
      </w:r>
      <w:r w:rsidRPr="0033697B">
        <w:rPr>
          <w:szCs w:val="21"/>
        </w:rPr>
        <w:t xml:space="preserve"> the UEs in the car/bus/train, we cal</w:t>
      </w:r>
      <w:r w:rsidR="005210A7" w:rsidRPr="0033697B">
        <w:rPr>
          <w:szCs w:val="21"/>
        </w:rPr>
        <w:t>l</w:t>
      </w:r>
      <w:r w:rsidRPr="0033697B">
        <w:rPr>
          <w:szCs w:val="21"/>
        </w:rPr>
        <w:t xml:space="preserve"> them onboard UE.</w:t>
      </w:r>
    </w:p>
    <w:p w14:paraId="61160E08" w14:textId="578021C6" w:rsidR="00673F8A" w:rsidRPr="0033697B" w:rsidRDefault="00673F8A" w:rsidP="008C0CA2">
      <w:pPr>
        <w:rPr>
          <w:szCs w:val="21"/>
        </w:rPr>
      </w:pPr>
      <w:r w:rsidRPr="0033697B">
        <w:rPr>
          <w:szCs w:val="21"/>
        </w:rPr>
        <w:t xml:space="preserve">We think the IAB-donor-CU i.e. the </w:t>
      </w:r>
      <w:proofErr w:type="spellStart"/>
      <w:r w:rsidRPr="0033697B">
        <w:rPr>
          <w:szCs w:val="21"/>
        </w:rPr>
        <w:t>gNB</w:t>
      </w:r>
      <w:proofErr w:type="spellEnd"/>
      <w:r w:rsidRPr="0033697B">
        <w:rPr>
          <w:szCs w:val="21"/>
        </w:rPr>
        <w:t xml:space="preserve"> serving the UE should be aware of whether the UE is onboard or not, so that it can make a</w:t>
      </w:r>
      <w:r w:rsidR="005210A7" w:rsidRPr="0033697B">
        <w:rPr>
          <w:szCs w:val="21"/>
        </w:rPr>
        <w:t>n</w:t>
      </w:r>
      <w:r w:rsidRPr="0033697B">
        <w:rPr>
          <w:szCs w:val="21"/>
        </w:rPr>
        <w:t xml:space="preserve"> </w:t>
      </w:r>
      <w:r w:rsidR="005210A7" w:rsidRPr="0033697B">
        <w:rPr>
          <w:szCs w:val="21"/>
        </w:rPr>
        <w:t xml:space="preserve">appropriate </w:t>
      </w:r>
      <w:r w:rsidRPr="0033697B">
        <w:rPr>
          <w:szCs w:val="21"/>
        </w:rPr>
        <w:t xml:space="preserve">handover decision </w:t>
      </w:r>
      <w:r w:rsidR="00AA4B16" w:rsidRPr="0033697B">
        <w:rPr>
          <w:szCs w:val="21"/>
        </w:rPr>
        <w:t xml:space="preserve">(e.g. to avoid ping-pong handover) </w:t>
      </w:r>
      <w:r w:rsidRPr="0033697B">
        <w:rPr>
          <w:szCs w:val="21"/>
        </w:rPr>
        <w:t xml:space="preserve">and apply </w:t>
      </w:r>
      <w:r w:rsidR="005210A7" w:rsidRPr="0033697B">
        <w:rPr>
          <w:szCs w:val="21"/>
        </w:rPr>
        <w:t xml:space="preserve">appropriate </w:t>
      </w:r>
      <w:r w:rsidRPr="0033697B">
        <w:rPr>
          <w:szCs w:val="21"/>
        </w:rPr>
        <w:t xml:space="preserve">mobility enhancement for the UE (e.g. </w:t>
      </w:r>
      <w:r w:rsidR="00AA4B16" w:rsidRPr="0033697B">
        <w:rPr>
          <w:szCs w:val="21"/>
        </w:rPr>
        <w:t xml:space="preserve">use </w:t>
      </w:r>
      <w:r w:rsidRPr="0033697B">
        <w:rPr>
          <w:szCs w:val="21"/>
        </w:rPr>
        <w:t>RACH-less handover during DU migration)</w:t>
      </w:r>
    </w:p>
    <w:p w14:paraId="2351122E" w14:textId="74236606" w:rsidR="00AA4B16" w:rsidRPr="0033697B" w:rsidRDefault="00AA4B16" w:rsidP="008C0CA2">
      <w:pPr>
        <w:rPr>
          <w:szCs w:val="21"/>
        </w:rPr>
      </w:pPr>
      <w:r w:rsidRPr="0033697B">
        <w:rPr>
          <w:szCs w:val="21"/>
        </w:rPr>
        <w:t>We understand that companies may have concerns on legacy UE support, but in our views, there are many solutions to identify onboard UE without legacy UE impact, especially we can take some SA2’s agreement into account.</w:t>
      </w:r>
    </w:p>
    <w:p w14:paraId="2BC78611" w14:textId="0CCBAB6F" w:rsidR="00C540F1" w:rsidRPr="0033697B" w:rsidRDefault="00C540F1" w:rsidP="00C540F1">
      <w:r w:rsidRPr="0033697B">
        <w:rPr>
          <w:noProof/>
          <w:sz w:val="18"/>
        </w:rPr>
        <mc:AlternateContent>
          <mc:Choice Requires="wps">
            <w:drawing>
              <wp:anchor distT="0" distB="0" distL="114300" distR="114300" simplePos="0" relativeHeight="251661312" behindDoc="1" locked="0" layoutInCell="1" allowOverlap="1" wp14:anchorId="1EA6CBEA" wp14:editId="664B5F2E">
                <wp:simplePos x="0" y="0"/>
                <wp:positionH relativeFrom="column">
                  <wp:posOffset>8890</wp:posOffset>
                </wp:positionH>
                <wp:positionV relativeFrom="paragraph">
                  <wp:posOffset>525780</wp:posOffset>
                </wp:positionV>
                <wp:extent cx="5949315" cy="1868805"/>
                <wp:effectExtent l="0" t="0" r="13335" b="17145"/>
                <wp:wrapTopAndBottom/>
                <wp:docPr id="2" name="文本框 2"/>
                <wp:cNvGraphicFramePr/>
                <a:graphic xmlns:a="http://schemas.openxmlformats.org/drawingml/2006/main">
                  <a:graphicData uri="http://schemas.microsoft.com/office/word/2010/wordprocessingShape">
                    <wps:wsp>
                      <wps:cNvSpPr txBox="1"/>
                      <wps:spPr>
                        <a:xfrm>
                          <a:off x="0" y="0"/>
                          <a:ext cx="5949315" cy="1868805"/>
                        </a:xfrm>
                        <a:prstGeom prst="rect">
                          <a:avLst/>
                        </a:prstGeom>
                        <a:solidFill>
                          <a:schemeClr val="lt1"/>
                        </a:solidFill>
                        <a:ln w="6350">
                          <a:solidFill>
                            <a:prstClr val="black"/>
                          </a:solidFill>
                        </a:ln>
                      </wps:spPr>
                      <wps:txbx>
                        <w:txbxContent>
                          <w:p w14:paraId="102F6669" w14:textId="77777777" w:rsidR="00C540F1" w:rsidRPr="001B7C50" w:rsidRDefault="00C540F1" w:rsidP="00C540F1">
                            <w:r w:rsidRPr="001B7C50">
                              <w:t>The following is required for identification:</w:t>
                            </w:r>
                          </w:p>
                          <w:p w14:paraId="05787395" w14:textId="77777777" w:rsidR="00C540F1" w:rsidRPr="001B7C50" w:rsidRDefault="00C540F1" w:rsidP="00C540F1">
                            <w:pPr>
                              <w:pStyle w:val="B1"/>
                            </w:pPr>
                            <w:r w:rsidRPr="001B7C50">
                              <w:t>-</w:t>
                            </w:r>
                            <w:r w:rsidRPr="001B7C50">
                              <w:tab/>
                              <w:t>A CAG is identified by a CAG Identifier which is unique within the scope of a PLMN ID;</w:t>
                            </w:r>
                          </w:p>
                          <w:p w14:paraId="78F6DFC3" w14:textId="77777777" w:rsidR="00C540F1" w:rsidRPr="001B7C50" w:rsidRDefault="00C540F1" w:rsidP="00C540F1">
                            <w:pPr>
                              <w:pStyle w:val="B1"/>
                            </w:pPr>
                            <w:r w:rsidRPr="001B7C50">
                              <w:t>-</w:t>
                            </w:r>
                            <w:r w:rsidRPr="001B7C50">
                              <w:tab/>
                              <w:t>A CAG cell broadcasts one or multiple CAG Identifiers per PLMN;</w:t>
                            </w:r>
                          </w:p>
                          <w:p w14:paraId="31F3245E" w14:textId="77777777" w:rsidR="00C540F1" w:rsidRPr="001B7C50" w:rsidRDefault="00C540F1" w:rsidP="00C540F1">
                            <w:pPr>
                              <w:pStyle w:val="NO"/>
                            </w:pPr>
                            <w:r w:rsidRPr="001B7C50">
                              <w:t>NOTE 1:</w:t>
                            </w:r>
                            <w:r w:rsidRPr="001B7C50">
                              <w:tab/>
                              <w:t>It is assumed that a cell supports broadcasting a total of twelve CAG Identifiers. Further details are defined in TS 38.331 [28].</w:t>
                            </w:r>
                          </w:p>
                          <w:p w14:paraId="57C6EC9C" w14:textId="77777777" w:rsidR="00C540F1" w:rsidRPr="001B7C50" w:rsidRDefault="00C540F1" w:rsidP="00C540F1">
                            <w:pPr>
                              <w:pStyle w:val="B1"/>
                            </w:pPr>
                            <w:r w:rsidRPr="00AB1260">
                              <w:rPr>
                                <w:highlight w:val="yellow"/>
                              </w:rPr>
                              <w:t>-</w:t>
                            </w:r>
                            <w:r w:rsidRPr="00AB1260">
                              <w:rPr>
                                <w:highlight w:val="yellow"/>
                              </w:rPr>
                              <w:tab/>
                              <w:t>A CAG cell may in addition broadcast a human-readable network name per CAG Identifier</w:t>
                            </w:r>
                            <w:r w:rsidRPr="001B7C50">
                              <w:t>:</w:t>
                            </w:r>
                          </w:p>
                          <w:p w14:paraId="056FFAF0" w14:textId="77777777" w:rsidR="00C540F1" w:rsidRPr="001B7C50" w:rsidRDefault="00C540F1" w:rsidP="00C540F1">
                            <w:pPr>
                              <w:pStyle w:val="NO"/>
                            </w:pPr>
                            <w:r w:rsidRPr="001B7C50">
                              <w:t>NOTE 2:</w:t>
                            </w:r>
                            <w:r w:rsidRPr="001B7C50">
                              <w:tab/>
                            </w:r>
                            <w:r w:rsidRPr="008B6F48">
                              <w:rPr>
                                <w:highlight w:val="yellow"/>
                              </w:rPr>
                              <w:t>The human-readable network name per CAG Identifier</w:t>
                            </w:r>
                            <w:r w:rsidRPr="001B7C50">
                              <w:t xml:space="preserve"> is only used for presentation to user when user requests a manual CAG selection.</w:t>
                            </w:r>
                          </w:p>
                          <w:p w14:paraId="33FA69A2" w14:textId="77777777" w:rsidR="00C540F1" w:rsidRDefault="00C540F1" w:rsidP="00C540F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A6CBEA" id="文本框 2" o:spid="_x0000_s1027" type="#_x0000_t202" style="position:absolute;margin-left:.7pt;margin-top:41.4pt;width:468.45pt;height:147.1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" fillcolor="white [3201]" strokeweight=".5pt">
                <v:textbox>
                  <w:txbxContent>
                    <w:p w14:paraId="102F6669" w14:textId="77777777" w:rsidR="00C540F1" w:rsidRPr="001B7C50" w:rsidRDefault="00C540F1" w:rsidP="00C540F1">
                      <w:r w:rsidRPr="001B7C50">
                        <w:t>The following is required for identification:</w:t>
                      </w:r>
                    </w:p>
                    <w:p w14:paraId="05787395" w14:textId="77777777" w:rsidR="00C540F1" w:rsidRPr="001B7C50" w:rsidRDefault="00C540F1" w:rsidP="00C540F1">
                      <w:pPr>
                        <w:pStyle w:val="B1"/>
                      </w:pPr>
                      <w:r w:rsidRPr="001B7C50">
                        <w:t>-</w:t>
                      </w:r>
                      <w:r w:rsidRPr="001B7C50">
                        <w:tab/>
                        <w:t>A CAG is identified by a CAG Identifier which is unique within the scope of a PLMN ID;</w:t>
                      </w:r>
                    </w:p>
                    <w:p w14:paraId="78F6DFC3" w14:textId="77777777" w:rsidR="00C540F1" w:rsidRPr="001B7C50" w:rsidRDefault="00C540F1" w:rsidP="00C540F1">
                      <w:pPr>
                        <w:pStyle w:val="B1"/>
                      </w:pPr>
                      <w:r w:rsidRPr="001B7C50">
                        <w:t>-</w:t>
                      </w:r>
                      <w:r w:rsidRPr="001B7C50">
                        <w:tab/>
                        <w:t>A CAG cell broadcasts one or multiple CAG Identifiers per PLMN;</w:t>
                      </w:r>
                    </w:p>
                    <w:p w14:paraId="31F3245E" w14:textId="77777777" w:rsidR="00C540F1" w:rsidRPr="001B7C50" w:rsidRDefault="00C540F1" w:rsidP="00C540F1">
                      <w:pPr>
                        <w:pStyle w:val="NO"/>
                      </w:pPr>
                      <w:r w:rsidRPr="001B7C50">
                        <w:t>NOTE 1:</w:t>
                      </w:r>
                      <w:r w:rsidRPr="001B7C50">
                        <w:tab/>
                        <w:t>It is assumed that a cell supports broadcasting a total of twelve CAG Identifiers. Further details are defined in TS 38.331 [28].</w:t>
                      </w:r>
                    </w:p>
                    <w:p w14:paraId="57C6EC9C" w14:textId="77777777" w:rsidR="00C540F1" w:rsidRPr="001B7C50" w:rsidRDefault="00C540F1" w:rsidP="00C540F1">
                      <w:pPr>
                        <w:pStyle w:val="B1"/>
                      </w:pPr>
                      <w:r w:rsidRPr="00AB1260">
                        <w:rPr>
                          <w:highlight w:val="yellow"/>
                        </w:rPr>
                        <w:t>-</w:t>
                      </w:r>
                      <w:r w:rsidRPr="00AB1260">
                        <w:rPr>
                          <w:highlight w:val="yellow"/>
                        </w:rPr>
                        <w:tab/>
                        <w:t>A CAG cell may in addition broadcast a human-readable network name per CAG Identifier</w:t>
                      </w:r>
                      <w:r w:rsidRPr="001B7C50">
                        <w:t>:</w:t>
                      </w:r>
                    </w:p>
                    <w:p w14:paraId="056FFAF0" w14:textId="77777777" w:rsidR="00C540F1" w:rsidRPr="001B7C50" w:rsidRDefault="00C540F1" w:rsidP="00C540F1">
                      <w:pPr>
                        <w:pStyle w:val="NO"/>
                      </w:pPr>
                      <w:r w:rsidRPr="001B7C50">
                        <w:t>NOTE 2:</w:t>
                      </w:r>
                      <w:r w:rsidRPr="001B7C50">
                        <w:tab/>
                      </w:r>
                      <w:r w:rsidRPr="008B6F48">
                        <w:rPr>
                          <w:highlight w:val="yellow"/>
                        </w:rPr>
                        <w:t>The human-readable network name per CAG Identifier</w:t>
                      </w:r>
                      <w:r w:rsidRPr="001B7C50">
                        <w:t xml:space="preserve"> is only used for presentation to user when user requests a manual CAG selection.</w:t>
                      </w:r>
                    </w:p>
                    <w:p w14:paraId="33FA69A2" w14:textId="77777777" w:rsidR="00C540F1" w:rsidRDefault="00C540F1" w:rsidP="00C540F1"/>
                  </w:txbxContent>
                </v:textbox>
                <w10:wrap type="topAndBottom"/>
              </v:shape>
            </w:pict>
          </mc:Fallback>
        </mc:AlternateContent>
      </w:r>
      <w:r w:rsidR="00AA4B16" w:rsidRPr="0033697B">
        <w:rPr>
          <w:szCs w:val="21"/>
        </w:rPr>
        <w:t xml:space="preserve">As we also discussed in [1], SA2 agree </w:t>
      </w:r>
      <w:r w:rsidRPr="0033697B">
        <w:rPr>
          <w:lang w:eastAsia="zh-CN"/>
        </w:rPr>
        <w:t xml:space="preserve">that CAG function can be used for UE access control, </w:t>
      </w:r>
      <w:r w:rsidRPr="0033697B">
        <w:rPr>
          <w:rFonts w:hint="eastAsia"/>
          <w:lang w:eastAsia="zh-CN"/>
        </w:rPr>
        <w:t>w</w:t>
      </w:r>
      <w:r w:rsidRPr="0033697B">
        <w:rPr>
          <w:lang w:eastAsia="zh-CN"/>
        </w:rPr>
        <w:t>e think this</w:t>
      </w:r>
      <w:r w:rsidRPr="0033697B">
        <w:t xml:space="preserve"> may help RAN3’s discussion on onboard UE identification. As we know that the CAG identifier can be human-readable, and UE can select the CAG ID manually.  </w:t>
      </w:r>
    </w:p>
    <w:p w14:paraId="7DDCE76A" w14:textId="441414CF" w:rsidR="00C540F1" w:rsidRPr="0033697B" w:rsidRDefault="00C540F1" w:rsidP="00C540F1">
      <w:pPr>
        <w:rPr>
          <w:szCs w:val="22"/>
        </w:rPr>
      </w:pPr>
      <w:r w:rsidRPr="0033697B">
        <w:rPr>
          <w:szCs w:val="22"/>
        </w:rPr>
        <w:t xml:space="preserve">For example, if a mobile IAB deployed in bus#1, the human-readable CAG ID can be set to “bus#1”, if a user gets in bus#1, the readable CAG ID can be shown on its cell phone, the user can select “bus#1” to have a better connection service, and the IAB-donor-CU as serving </w:t>
      </w:r>
      <w:proofErr w:type="spellStart"/>
      <w:r w:rsidRPr="0033697B">
        <w:rPr>
          <w:szCs w:val="22"/>
        </w:rPr>
        <w:t>gNB</w:t>
      </w:r>
      <w:proofErr w:type="spellEnd"/>
      <w:r w:rsidRPr="0033697B">
        <w:rPr>
          <w:szCs w:val="22"/>
        </w:rPr>
        <w:t xml:space="preserve"> of the UE can know that UE select this “bus#1” CAG cell as the selected information will be notified to the </w:t>
      </w:r>
      <w:proofErr w:type="spellStart"/>
      <w:r w:rsidRPr="0033697B">
        <w:rPr>
          <w:szCs w:val="22"/>
        </w:rPr>
        <w:t>gNB</w:t>
      </w:r>
      <w:proofErr w:type="spellEnd"/>
      <w:r w:rsidRPr="0033697B">
        <w:rPr>
          <w:szCs w:val="22"/>
        </w:rPr>
        <w:t xml:space="preserve">, the reported selected information from UE indicates that </w:t>
      </w:r>
      <w:r w:rsidR="00493C47" w:rsidRPr="0033697B">
        <w:rPr>
          <w:szCs w:val="22"/>
        </w:rPr>
        <w:t xml:space="preserve">the </w:t>
      </w:r>
      <w:r w:rsidRPr="0033697B">
        <w:rPr>
          <w:szCs w:val="22"/>
        </w:rPr>
        <w:t>UE is onboard UE.</w:t>
      </w:r>
    </w:p>
    <w:p w14:paraId="65B27475" w14:textId="4053CECC" w:rsidR="00AA4B16" w:rsidRPr="0033697B" w:rsidRDefault="00493C47" w:rsidP="008C0CA2">
      <w:pPr>
        <w:rPr>
          <w:szCs w:val="22"/>
        </w:rPr>
      </w:pPr>
      <w:r w:rsidRPr="0033697B">
        <w:rPr>
          <w:szCs w:val="22"/>
        </w:rPr>
        <w:t xml:space="preserve">The CAG function is not new, if the legacy UE have this function and </w:t>
      </w:r>
      <w:r w:rsidR="00604F01" w:rsidRPr="0033697B">
        <w:rPr>
          <w:szCs w:val="22"/>
        </w:rPr>
        <w:t xml:space="preserve">manually </w:t>
      </w:r>
      <w:r w:rsidRPr="0033697B">
        <w:rPr>
          <w:szCs w:val="22"/>
        </w:rPr>
        <w:t>select the GAG ID broadcasted by the mobile IAB node.</w:t>
      </w:r>
    </w:p>
    <w:p w14:paraId="757C4049" w14:textId="7EB05977" w:rsidR="00617F58" w:rsidRPr="0033697B" w:rsidRDefault="00617F58" w:rsidP="008C0CA2">
      <w:pPr>
        <w:rPr>
          <w:b/>
          <w:szCs w:val="22"/>
        </w:rPr>
      </w:pPr>
      <w:r w:rsidRPr="0033697B">
        <w:rPr>
          <w:b/>
          <w:szCs w:val="22"/>
        </w:rPr>
        <w:t>Observation</w:t>
      </w:r>
      <w:r w:rsidR="00604F01" w:rsidRPr="0033697B">
        <w:rPr>
          <w:b/>
          <w:szCs w:val="22"/>
        </w:rPr>
        <w:t xml:space="preserve"> 3</w:t>
      </w:r>
      <w:r w:rsidRPr="0033697B">
        <w:rPr>
          <w:b/>
          <w:szCs w:val="22"/>
        </w:rPr>
        <w:t xml:space="preserve">: it would be beneficial for UE’s efficient handover if the serving </w:t>
      </w:r>
      <w:proofErr w:type="spellStart"/>
      <w:r w:rsidRPr="0033697B">
        <w:rPr>
          <w:b/>
          <w:szCs w:val="22"/>
        </w:rPr>
        <w:t>gNB</w:t>
      </w:r>
      <w:proofErr w:type="spellEnd"/>
      <w:r w:rsidRPr="0033697B">
        <w:rPr>
          <w:b/>
          <w:szCs w:val="22"/>
        </w:rPr>
        <w:t xml:space="preserve"> knows that UE is in the car, i.e. UE is onboard.</w:t>
      </w:r>
    </w:p>
    <w:p w14:paraId="3AD2F4BF" w14:textId="16C11C9D" w:rsidR="00617F58" w:rsidRPr="0033697B" w:rsidRDefault="00617F58" w:rsidP="008C0CA2">
      <w:pPr>
        <w:rPr>
          <w:b/>
          <w:szCs w:val="22"/>
        </w:rPr>
      </w:pPr>
      <w:r w:rsidRPr="0033697B">
        <w:rPr>
          <w:b/>
          <w:szCs w:val="22"/>
        </w:rPr>
        <w:t>Observation</w:t>
      </w:r>
      <w:r w:rsidR="00604F01" w:rsidRPr="0033697B">
        <w:rPr>
          <w:b/>
          <w:szCs w:val="22"/>
        </w:rPr>
        <w:t xml:space="preserve"> 4</w:t>
      </w:r>
      <w:r w:rsidRPr="0033697B">
        <w:rPr>
          <w:b/>
          <w:szCs w:val="22"/>
        </w:rPr>
        <w:t xml:space="preserve">: CAG is </w:t>
      </w:r>
      <w:r w:rsidR="00493C47" w:rsidRPr="0033697B">
        <w:rPr>
          <w:b/>
          <w:szCs w:val="22"/>
        </w:rPr>
        <w:t>human-</w:t>
      </w:r>
      <w:r w:rsidRPr="0033697B">
        <w:rPr>
          <w:b/>
          <w:szCs w:val="22"/>
        </w:rPr>
        <w:t>readable and the network can know whether UE is onboard according to the CAG ID selected by UE.</w:t>
      </w:r>
    </w:p>
    <w:p w14:paraId="61EB4FE9" w14:textId="2C3BD53C" w:rsidR="00C80DBF" w:rsidRPr="0033697B" w:rsidRDefault="00617F58" w:rsidP="008C0CA2">
      <w:pPr>
        <w:rPr>
          <w:b/>
          <w:szCs w:val="22"/>
        </w:rPr>
      </w:pPr>
      <w:r w:rsidRPr="0033697B">
        <w:rPr>
          <w:b/>
          <w:szCs w:val="22"/>
        </w:rPr>
        <w:t>Observation</w:t>
      </w:r>
      <w:r w:rsidR="00604F01" w:rsidRPr="0033697B">
        <w:rPr>
          <w:b/>
          <w:szCs w:val="22"/>
        </w:rPr>
        <w:t xml:space="preserve"> 5</w:t>
      </w:r>
      <w:r w:rsidRPr="0033697B">
        <w:rPr>
          <w:b/>
          <w:szCs w:val="22"/>
        </w:rPr>
        <w:t>, CAG function can be used for identifying onboard UE, which has no impact on legacy UEs.</w:t>
      </w:r>
    </w:p>
    <w:p w14:paraId="172E7D49" w14:textId="0236B705" w:rsidR="007D321F" w:rsidRPr="0033697B" w:rsidRDefault="00C80DBF" w:rsidP="00493C47">
      <w:pPr>
        <w:rPr>
          <w:b/>
          <w:szCs w:val="22"/>
        </w:rPr>
      </w:pPr>
      <w:r w:rsidRPr="0033697B">
        <w:rPr>
          <w:b/>
          <w:szCs w:val="22"/>
        </w:rPr>
        <w:t>Proposal</w:t>
      </w:r>
      <w:r w:rsidR="00604F01" w:rsidRPr="0033697B">
        <w:rPr>
          <w:b/>
          <w:szCs w:val="22"/>
        </w:rPr>
        <w:t xml:space="preserve"> 3</w:t>
      </w:r>
      <w:r w:rsidRPr="0033697B">
        <w:rPr>
          <w:b/>
          <w:szCs w:val="22"/>
        </w:rPr>
        <w:t xml:space="preserve">, RAN3 agree to identify whether UE is onboard or not based on the selected CAG ID </w:t>
      </w:r>
      <w:r w:rsidR="00BE3EDD" w:rsidRPr="0033697B">
        <w:rPr>
          <w:b/>
          <w:szCs w:val="22"/>
        </w:rPr>
        <w:t xml:space="preserve">reported </w:t>
      </w:r>
      <w:r w:rsidRPr="0033697B">
        <w:rPr>
          <w:b/>
          <w:szCs w:val="22"/>
        </w:rPr>
        <w:t>UE.</w:t>
      </w:r>
    </w:p>
    <w:p w14:paraId="656544A7" w14:textId="62678A31" w:rsidR="007D321F" w:rsidRDefault="00854174" w:rsidP="00854174">
      <w:pPr>
        <w:pStyle w:val="2"/>
      </w:pPr>
      <w:r w:rsidRPr="00971F47">
        <w:t>2.</w:t>
      </w:r>
      <w:r>
        <w:t>3</w:t>
      </w:r>
      <w:r w:rsidRPr="00971F47">
        <w:t xml:space="preserve"> </w:t>
      </w:r>
      <w:r w:rsidR="00754AA5">
        <w:t>Dynamic TAC</w:t>
      </w:r>
    </w:p>
    <w:p w14:paraId="3F238EC8" w14:textId="189ED9E3" w:rsidR="00BE3EDD" w:rsidRPr="0033697B" w:rsidRDefault="00BE3EDD" w:rsidP="00A757D7">
      <w:pPr>
        <w:pStyle w:val="Doc-text2"/>
        <w:ind w:left="0" w:firstLine="0"/>
        <w:rPr>
          <w:rFonts w:ascii="Times New Roman" w:eastAsia="宋体" w:hAnsi="Times New Roman" w:cs="Times New Roman"/>
          <w:szCs w:val="20"/>
          <w:lang w:eastAsia="en-US"/>
        </w:rPr>
      </w:pPr>
      <w:r w:rsidRPr="0033697B">
        <w:rPr>
          <w:rFonts w:ascii="Times New Roman" w:eastAsia="宋体" w:hAnsi="Times New Roman" w:cs="Times New Roman"/>
          <w:szCs w:val="20"/>
          <w:lang w:eastAsia="en-US"/>
        </w:rPr>
        <w:t xml:space="preserve">In </w:t>
      </w:r>
      <w:r w:rsidR="00917D1E" w:rsidRPr="0033697B">
        <w:rPr>
          <w:rFonts w:ascii="Times New Roman" w:eastAsia="宋体" w:hAnsi="Times New Roman" w:cs="Times New Roman"/>
          <w:szCs w:val="20"/>
          <w:lang w:eastAsia="en-US"/>
        </w:rPr>
        <w:t>previous</w:t>
      </w:r>
      <w:r w:rsidRPr="0033697B">
        <w:rPr>
          <w:rFonts w:ascii="Times New Roman" w:eastAsia="宋体" w:hAnsi="Times New Roman" w:cs="Times New Roman"/>
          <w:szCs w:val="20"/>
          <w:lang w:eastAsia="en-US"/>
        </w:rPr>
        <w:t xml:space="preserve"> RAN3 meeting</w:t>
      </w:r>
      <w:r w:rsidR="00917D1E" w:rsidRPr="0033697B">
        <w:rPr>
          <w:rFonts w:ascii="Times New Roman" w:eastAsia="宋体" w:hAnsi="Times New Roman" w:cs="Times New Roman"/>
          <w:szCs w:val="20"/>
          <w:lang w:eastAsia="en-US"/>
        </w:rPr>
        <w:t>s</w:t>
      </w:r>
      <w:r w:rsidRPr="0033697B">
        <w:rPr>
          <w:rFonts w:ascii="Times New Roman" w:eastAsia="宋体" w:hAnsi="Times New Roman" w:cs="Times New Roman"/>
          <w:szCs w:val="20"/>
          <w:lang w:eastAsia="en-US"/>
        </w:rPr>
        <w:t xml:space="preserve">, it was agreed that dynamic TAC should be supported and RAN3 to discuss </w:t>
      </w:r>
      <w:r w:rsidR="00917D1E" w:rsidRPr="0033697B">
        <w:rPr>
          <w:rFonts w:ascii="Times New Roman" w:eastAsia="宋体" w:hAnsi="Times New Roman" w:cs="Times New Roman"/>
          <w:szCs w:val="20"/>
          <w:lang w:eastAsia="en-US"/>
        </w:rPr>
        <w:t xml:space="preserve">whether </w:t>
      </w:r>
      <w:r w:rsidR="00EC2F2F" w:rsidRPr="0033697B">
        <w:rPr>
          <w:rFonts w:ascii="Times New Roman" w:eastAsia="宋体" w:hAnsi="Times New Roman" w:cs="Times New Roman"/>
          <w:szCs w:val="20"/>
          <w:lang w:eastAsia="en-US"/>
        </w:rPr>
        <w:t>any stage 3 changes needed</w:t>
      </w:r>
      <w:r w:rsidRPr="0033697B">
        <w:rPr>
          <w:rFonts w:ascii="Times New Roman" w:eastAsia="宋体" w:hAnsi="Times New Roman" w:cs="Times New Roman"/>
          <w:szCs w:val="20"/>
          <w:lang w:eastAsia="en-US"/>
        </w:rPr>
        <w:t xml:space="preserve">. </w:t>
      </w:r>
    </w:p>
    <w:p w14:paraId="209AFA10" w14:textId="77777777" w:rsidR="00917D1E" w:rsidRPr="0033697B" w:rsidRDefault="00917D1E" w:rsidP="00917D1E">
      <w:pPr>
        <w:widowControl w:val="0"/>
        <w:rPr>
          <w:rFonts w:ascii="Calibri" w:hAnsi="Calibri" w:cs="Calibri"/>
          <w:i/>
          <w:iCs/>
          <w:color w:val="00B050"/>
          <w:kern w:val="2"/>
        </w:rPr>
      </w:pPr>
      <w:r w:rsidRPr="0033697B">
        <w:rPr>
          <w:rFonts w:ascii="Calibri" w:hAnsi="Calibri" w:cs="Calibri"/>
          <w:i/>
          <w:iCs/>
          <w:color w:val="00B050"/>
          <w:kern w:val="2"/>
        </w:rPr>
        <w:t xml:space="preserve">Capture on stage 2 that the TAC/RANAC broadcast by the mobile IAB-DU can be changed in order to reflect the </w:t>
      </w:r>
      <w:proofErr w:type="spellStart"/>
      <w:r w:rsidRPr="0033697B">
        <w:rPr>
          <w:rFonts w:ascii="Calibri" w:hAnsi="Calibri" w:cs="Calibri"/>
          <w:i/>
          <w:iCs/>
          <w:color w:val="00B050"/>
          <w:kern w:val="2"/>
        </w:rPr>
        <w:t>mIAB</w:t>
      </w:r>
      <w:proofErr w:type="spellEnd"/>
      <w:r w:rsidRPr="0033697B">
        <w:rPr>
          <w:rFonts w:ascii="Calibri" w:hAnsi="Calibri" w:cs="Calibri"/>
          <w:i/>
          <w:iCs/>
          <w:color w:val="00B050"/>
          <w:kern w:val="2"/>
        </w:rPr>
        <w:t xml:space="preserve">-node’s physical location. It needs to be further discussed how the mobile IAB-DU’s TAC/RANAC is changed and what Stage 3 impacts are (if any). </w:t>
      </w:r>
    </w:p>
    <w:p w14:paraId="138CEE34" w14:textId="428929E3" w:rsidR="00917D1E" w:rsidRPr="0033697B" w:rsidRDefault="001F4FE5" w:rsidP="00A757D7">
      <w:pPr>
        <w:pStyle w:val="Doc-text2"/>
        <w:ind w:left="0" w:firstLine="0"/>
        <w:rPr>
          <w:rFonts w:ascii="Times New Roman" w:eastAsia="宋体" w:hAnsi="Times New Roman" w:cs="Times New Roman"/>
          <w:szCs w:val="20"/>
          <w:lang w:eastAsia="en-US"/>
        </w:rPr>
      </w:pPr>
      <w:r w:rsidRPr="0033697B">
        <w:rPr>
          <w:rFonts w:ascii="Times New Roman" w:eastAsia="宋体" w:hAnsi="Times New Roman" w:cs="Times New Roman"/>
          <w:szCs w:val="20"/>
          <w:lang w:eastAsia="en-US"/>
        </w:rPr>
        <w:t>In our understanding, the IAB-MT can read the broadcasted TAC from the IAB-MT’s donor-CU, and the co-located IAB-DU can change the broadcast TAC accordingly if needed, the IAB-DU can notify the IAB-DU’s donor-CU the updated TAC, which is already supported by existing signalling, we don’t see any impacts on stage3 specifications.</w:t>
      </w:r>
    </w:p>
    <w:p w14:paraId="370EB2F2" w14:textId="77777777" w:rsidR="001F4FE5" w:rsidRPr="0033697B" w:rsidRDefault="001F4FE5" w:rsidP="00A757D7">
      <w:pPr>
        <w:pStyle w:val="Doc-text2"/>
        <w:ind w:left="0" w:firstLine="0"/>
        <w:rPr>
          <w:rFonts w:ascii="Times New Roman" w:eastAsia="宋体" w:hAnsi="Times New Roman" w:cs="Times New Roman"/>
          <w:szCs w:val="20"/>
          <w:lang w:eastAsia="en-US"/>
        </w:rPr>
      </w:pPr>
    </w:p>
    <w:p w14:paraId="0B1D7264" w14:textId="152DB409" w:rsidR="00BE3EDD" w:rsidRPr="0033697B" w:rsidRDefault="001F4FE5" w:rsidP="00A757D7">
      <w:pPr>
        <w:pStyle w:val="Doc-text2"/>
        <w:ind w:left="0" w:firstLine="0"/>
        <w:rPr>
          <w:rFonts w:ascii="Times New Roman" w:eastAsia="宋体" w:hAnsi="Times New Roman" w:cs="Times New Roman"/>
          <w:szCs w:val="20"/>
          <w:lang w:eastAsia="en-US"/>
        </w:rPr>
      </w:pPr>
      <w:r w:rsidRPr="0033697B">
        <w:rPr>
          <w:rFonts w:ascii="Times New Roman" w:eastAsia="宋体" w:hAnsi="Times New Roman" w:cs="Times New Roman"/>
          <w:szCs w:val="20"/>
          <w:lang w:eastAsia="en-US"/>
        </w:rPr>
        <w:t xml:space="preserve">Some company may think </w:t>
      </w:r>
      <w:r w:rsidR="00BE3EDD" w:rsidRPr="0033697B">
        <w:rPr>
          <w:rFonts w:ascii="Times New Roman" w:eastAsia="宋体" w:hAnsi="Times New Roman" w:cs="Times New Roman"/>
          <w:szCs w:val="20"/>
          <w:lang w:eastAsia="en-US"/>
        </w:rPr>
        <w:t xml:space="preserve">dynamic TAC may cause frequent RAU and </w:t>
      </w:r>
      <w:proofErr w:type="spellStart"/>
      <w:r w:rsidR="00BE3EDD" w:rsidRPr="0033697B">
        <w:rPr>
          <w:rFonts w:ascii="Times New Roman" w:eastAsia="宋体" w:hAnsi="Times New Roman" w:cs="Times New Roman"/>
          <w:szCs w:val="20"/>
          <w:lang w:eastAsia="en-US"/>
        </w:rPr>
        <w:t>siganllling</w:t>
      </w:r>
      <w:proofErr w:type="spellEnd"/>
      <w:r w:rsidR="00BE3EDD" w:rsidRPr="0033697B">
        <w:rPr>
          <w:rFonts w:ascii="Times New Roman" w:eastAsia="宋体" w:hAnsi="Times New Roman" w:cs="Times New Roman"/>
          <w:szCs w:val="20"/>
          <w:lang w:eastAsia="en-US"/>
        </w:rPr>
        <w:t xml:space="preserve"> storms because all the UEs served by the mobile IAB will perform </w:t>
      </w:r>
      <w:r w:rsidR="00877B02" w:rsidRPr="0033697B">
        <w:rPr>
          <w:rFonts w:ascii="Times New Roman" w:eastAsia="宋体" w:hAnsi="Times New Roman" w:cs="Times New Roman"/>
          <w:szCs w:val="20"/>
          <w:lang w:eastAsia="en-US"/>
        </w:rPr>
        <w:t>R</w:t>
      </w:r>
      <w:r w:rsidR="00BE3EDD" w:rsidRPr="0033697B">
        <w:rPr>
          <w:rFonts w:ascii="Times New Roman" w:eastAsia="宋体" w:hAnsi="Times New Roman" w:cs="Times New Roman"/>
          <w:szCs w:val="20"/>
          <w:lang w:eastAsia="en-US"/>
        </w:rPr>
        <w:t>AU</w:t>
      </w:r>
      <w:r w:rsidRPr="0033697B">
        <w:rPr>
          <w:rFonts w:ascii="Times New Roman" w:eastAsia="宋体" w:hAnsi="Times New Roman" w:cs="Times New Roman"/>
          <w:szCs w:val="20"/>
          <w:lang w:eastAsia="en-US"/>
        </w:rPr>
        <w:t xml:space="preserve"> if the TAC is changed</w:t>
      </w:r>
      <w:r w:rsidR="00BE3EDD" w:rsidRPr="0033697B">
        <w:rPr>
          <w:rFonts w:ascii="Times New Roman" w:eastAsia="宋体" w:hAnsi="Times New Roman" w:cs="Times New Roman"/>
          <w:szCs w:val="20"/>
          <w:lang w:eastAsia="en-US"/>
        </w:rPr>
        <w:t xml:space="preserve">. However, the 5GS already have a very flexible and efficient RA configuration mechanism, we don’t think this frequent RAU will happen. Imaging that if mobile IAB is deployed in bus or train in which there may be a large number of UEs, the RA of IAB-MT can be configured </w:t>
      </w:r>
      <w:bookmarkStart w:id="1" w:name="_Hlk127442554"/>
      <w:r w:rsidR="00874AD3" w:rsidRPr="0033697B">
        <w:rPr>
          <w:rFonts w:ascii="Times New Roman" w:eastAsia="宋体" w:hAnsi="Times New Roman" w:cs="Times New Roman"/>
          <w:szCs w:val="20"/>
          <w:lang w:eastAsia="en-US"/>
        </w:rPr>
        <w:t xml:space="preserve">appropriately </w:t>
      </w:r>
      <w:bookmarkEnd w:id="1"/>
      <w:r w:rsidR="00BE3EDD" w:rsidRPr="0033697B">
        <w:rPr>
          <w:rFonts w:ascii="Times New Roman" w:eastAsia="宋体" w:hAnsi="Times New Roman" w:cs="Times New Roman"/>
          <w:szCs w:val="20"/>
          <w:lang w:eastAsia="en-US"/>
        </w:rPr>
        <w:t xml:space="preserve">since the network knows the route of the bus or the train, which is also quite static. If a UE access to the 5GS via this mobile IAB, the core network can assign RA for the UE </w:t>
      </w:r>
      <w:r w:rsidR="00874AD3" w:rsidRPr="0033697B">
        <w:rPr>
          <w:rFonts w:ascii="Times New Roman" w:eastAsia="宋体" w:hAnsi="Times New Roman" w:cs="Times New Roman"/>
          <w:szCs w:val="20"/>
          <w:lang w:eastAsia="en-US"/>
        </w:rPr>
        <w:t>appropriately</w:t>
      </w:r>
      <w:r w:rsidR="00BE3EDD" w:rsidRPr="0033697B">
        <w:rPr>
          <w:rFonts w:ascii="Times New Roman" w:eastAsia="宋体" w:hAnsi="Times New Roman" w:cs="Times New Roman"/>
          <w:szCs w:val="20"/>
          <w:lang w:eastAsia="en-US"/>
        </w:rPr>
        <w:t xml:space="preserve"> </w:t>
      </w:r>
      <w:r w:rsidR="00877B02" w:rsidRPr="0033697B">
        <w:rPr>
          <w:rFonts w:ascii="Times New Roman" w:eastAsia="宋体" w:hAnsi="Times New Roman" w:cs="Times New Roman"/>
          <w:szCs w:val="20"/>
          <w:lang w:eastAsia="en-US"/>
        </w:rPr>
        <w:t>taken</w:t>
      </w:r>
      <w:r w:rsidR="00BE3EDD" w:rsidRPr="0033697B">
        <w:rPr>
          <w:rFonts w:ascii="Times New Roman" w:eastAsia="宋体" w:hAnsi="Times New Roman" w:cs="Times New Roman"/>
          <w:szCs w:val="20"/>
          <w:lang w:eastAsia="en-US"/>
        </w:rPr>
        <w:t xml:space="preserve"> the RA of the IAB-MT</w:t>
      </w:r>
      <w:r w:rsidR="00877B02" w:rsidRPr="0033697B">
        <w:rPr>
          <w:rFonts w:ascii="Times New Roman" w:eastAsia="宋体" w:hAnsi="Times New Roman" w:cs="Times New Roman"/>
          <w:szCs w:val="20"/>
          <w:lang w:eastAsia="en-US"/>
        </w:rPr>
        <w:t xml:space="preserve"> into account</w:t>
      </w:r>
      <w:r w:rsidR="00BE3EDD" w:rsidRPr="0033697B">
        <w:rPr>
          <w:rFonts w:ascii="Times New Roman" w:eastAsia="宋体" w:hAnsi="Times New Roman" w:cs="Times New Roman"/>
          <w:szCs w:val="20"/>
          <w:lang w:eastAsia="en-US"/>
        </w:rPr>
        <w:t xml:space="preserve">, thus, even though the broadcast TA may be dynamic changed, the RAU will not be triggered as </w:t>
      </w:r>
      <w:r w:rsidR="00754AA5" w:rsidRPr="0033697B">
        <w:rPr>
          <w:rFonts w:ascii="Times New Roman" w:eastAsia="宋体" w:hAnsi="Times New Roman" w:cs="Times New Roman"/>
          <w:szCs w:val="20"/>
          <w:lang w:eastAsia="en-US"/>
        </w:rPr>
        <w:t>the new</w:t>
      </w:r>
      <w:r w:rsidR="00877B02" w:rsidRPr="0033697B">
        <w:rPr>
          <w:rFonts w:ascii="Times New Roman" w:eastAsia="宋体" w:hAnsi="Times New Roman" w:cs="Times New Roman"/>
          <w:szCs w:val="20"/>
          <w:lang w:eastAsia="en-US"/>
        </w:rPr>
        <w:t>ly</w:t>
      </w:r>
      <w:r w:rsidR="00754AA5" w:rsidRPr="0033697B">
        <w:rPr>
          <w:rFonts w:ascii="Times New Roman" w:eastAsia="宋体" w:hAnsi="Times New Roman" w:cs="Times New Roman"/>
          <w:szCs w:val="20"/>
          <w:lang w:eastAsia="en-US"/>
        </w:rPr>
        <w:t xml:space="preserve"> broadcasted TA is</w:t>
      </w:r>
      <w:r w:rsidR="00BE3EDD" w:rsidRPr="0033697B">
        <w:rPr>
          <w:rFonts w:ascii="Times New Roman" w:eastAsia="宋体" w:hAnsi="Times New Roman" w:cs="Times New Roman"/>
          <w:szCs w:val="20"/>
          <w:lang w:eastAsia="en-US"/>
        </w:rPr>
        <w:t xml:space="preserve"> already configured in the </w:t>
      </w:r>
      <w:r w:rsidR="00754AA5" w:rsidRPr="0033697B">
        <w:rPr>
          <w:rFonts w:ascii="Times New Roman" w:eastAsia="宋体" w:hAnsi="Times New Roman" w:cs="Times New Roman"/>
          <w:szCs w:val="20"/>
          <w:lang w:eastAsia="en-US"/>
        </w:rPr>
        <w:t>RA of the UE.</w:t>
      </w:r>
    </w:p>
    <w:p w14:paraId="46D2617F" w14:textId="3191408F" w:rsidR="00754AA5" w:rsidRPr="0033697B" w:rsidRDefault="00754AA5" w:rsidP="00A757D7">
      <w:pPr>
        <w:pStyle w:val="Doc-text2"/>
        <w:ind w:left="0" w:firstLine="0"/>
        <w:rPr>
          <w:rFonts w:ascii="Times New Roman" w:eastAsia="宋体" w:hAnsi="Times New Roman" w:cs="Times New Roman"/>
          <w:szCs w:val="20"/>
          <w:lang w:eastAsia="en-US"/>
        </w:rPr>
      </w:pPr>
    </w:p>
    <w:p w14:paraId="5980058B" w14:textId="48D5E840" w:rsidR="001F4A77" w:rsidRPr="0033697B" w:rsidRDefault="001F4A77" w:rsidP="00754AA5">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Observation</w:t>
      </w:r>
      <w:r w:rsidR="0033697B">
        <w:rPr>
          <w:rFonts w:ascii="Times New Roman" w:eastAsia="宋体" w:hAnsi="Times New Roman" w:cs="Times New Roman"/>
          <w:b/>
          <w:szCs w:val="20"/>
          <w:lang w:eastAsia="en-US"/>
        </w:rPr>
        <w:t xml:space="preserve"> 6</w:t>
      </w:r>
      <w:r w:rsidRPr="0033697B">
        <w:rPr>
          <w:rFonts w:ascii="Times New Roman" w:eastAsia="宋体" w:hAnsi="Times New Roman" w:cs="Times New Roman"/>
          <w:b/>
          <w:szCs w:val="20"/>
          <w:lang w:eastAsia="en-US"/>
        </w:rPr>
        <w:t xml:space="preserve">, existing signalling already support dynamic TAC. </w:t>
      </w:r>
    </w:p>
    <w:p w14:paraId="6E8A1875" w14:textId="1FD643E3" w:rsidR="00754AA5" w:rsidRPr="0033697B" w:rsidRDefault="00754AA5" w:rsidP="00754AA5">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Observation</w:t>
      </w:r>
      <w:r w:rsidR="00877B02" w:rsidRPr="0033697B">
        <w:rPr>
          <w:rFonts w:ascii="Times New Roman" w:eastAsia="宋体" w:hAnsi="Times New Roman" w:cs="Times New Roman"/>
          <w:b/>
          <w:szCs w:val="20"/>
          <w:lang w:eastAsia="en-US"/>
        </w:rPr>
        <w:t xml:space="preserve"> 7</w:t>
      </w:r>
      <w:r w:rsidRPr="0033697B">
        <w:rPr>
          <w:rFonts w:ascii="Times New Roman" w:eastAsia="宋体" w:hAnsi="Times New Roman" w:cs="Times New Roman"/>
          <w:b/>
          <w:szCs w:val="20"/>
          <w:lang w:eastAsia="en-US"/>
        </w:rPr>
        <w:t xml:space="preserve">, there will no frequent RAU and signalling storms for multiple UEs’ RAU, since the RA of UEs are </w:t>
      </w:r>
      <w:r w:rsidR="00874AD3" w:rsidRPr="0033697B">
        <w:rPr>
          <w:rFonts w:ascii="Times New Roman" w:eastAsia="宋体" w:hAnsi="Times New Roman" w:cs="Times New Roman"/>
          <w:b/>
          <w:szCs w:val="20"/>
          <w:lang w:eastAsia="en-US"/>
        </w:rPr>
        <w:t xml:space="preserve">appropriately </w:t>
      </w:r>
      <w:r w:rsidRPr="0033697B">
        <w:rPr>
          <w:rFonts w:ascii="Times New Roman" w:eastAsia="宋体" w:hAnsi="Times New Roman" w:cs="Times New Roman"/>
          <w:b/>
          <w:szCs w:val="20"/>
          <w:lang w:eastAsia="en-US"/>
        </w:rPr>
        <w:t>configured when it accesses to the network.</w:t>
      </w:r>
    </w:p>
    <w:p w14:paraId="29CD018B" w14:textId="38DDC2D6" w:rsidR="00BE3EDD" w:rsidRPr="0033697B" w:rsidRDefault="00754AA5" w:rsidP="00754AA5">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Proposal</w:t>
      </w:r>
      <w:r w:rsidR="00877B02" w:rsidRPr="0033697B">
        <w:rPr>
          <w:rFonts w:ascii="Times New Roman" w:eastAsia="宋体" w:hAnsi="Times New Roman" w:cs="Times New Roman"/>
          <w:b/>
          <w:szCs w:val="20"/>
          <w:lang w:eastAsia="en-US"/>
        </w:rPr>
        <w:t xml:space="preserve"> 4</w:t>
      </w:r>
      <w:r w:rsidRPr="0033697B">
        <w:rPr>
          <w:rFonts w:ascii="Times New Roman" w:eastAsia="宋体" w:hAnsi="Times New Roman" w:cs="Times New Roman"/>
          <w:b/>
          <w:szCs w:val="20"/>
          <w:lang w:eastAsia="en-US"/>
        </w:rPr>
        <w:t xml:space="preserve">, RAN3 conclude that there is no </w:t>
      </w:r>
      <w:r w:rsidR="00FF2F2C" w:rsidRPr="0033697B">
        <w:rPr>
          <w:rFonts w:ascii="Times New Roman" w:eastAsia="宋体" w:hAnsi="Times New Roman" w:cs="Times New Roman"/>
          <w:b/>
          <w:szCs w:val="20"/>
          <w:lang w:eastAsia="en-US"/>
        </w:rPr>
        <w:t xml:space="preserve">stage 3 </w:t>
      </w:r>
      <w:r w:rsidRPr="0033697B">
        <w:rPr>
          <w:rFonts w:ascii="Times New Roman" w:eastAsia="宋体" w:hAnsi="Times New Roman" w:cs="Times New Roman"/>
          <w:b/>
          <w:szCs w:val="20"/>
          <w:lang w:eastAsia="en-US"/>
        </w:rPr>
        <w:t>specification work to support dynamic TAC from RAN3 perspective.</w:t>
      </w:r>
    </w:p>
    <w:p w14:paraId="39AD4B7A" w14:textId="7198FEE5" w:rsidR="00A757D7" w:rsidRDefault="00A757D7" w:rsidP="00A757D7">
      <w:pPr>
        <w:pStyle w:val="Doc-text2"/>
        <w:ind w:left="0" w:firstLine="0"/>
        <w:rPr>
          <w:rFonts w:ascii="Times New Roman" w:hAnsi="Times New Roman" w:cs="Times New Roman"/>
          <w:lang w:val="en-US"/>
        </w:rPr>
      </w:pPr>
    </w:p>
    <w:p w14:paraId="0838F4CF" w14:textId="2A5ED2BC" w:rsidR="00754AA5" w:rsidRDefault="00754AA5" w:rsidP="00754AA5">
      <w:pPr>
        <w:pStyle w:val="2"/>
      </w:pPr>
      <w:r w:rsidRPr="00971F47">
        <w:t>2.</w:t>
      </w:r>
      <w:r w:rsidR="00402EAF">
        <w:t>4</w:t>
      </w:r>
      <w:r w:rsidRPr="00971F47">
        <w:t xml:space="preserve"> </w:t>
      </w:r>
      <w:r w:rsidR="00874AD3">
        <w:t>NCGI</w:t>
      </w:r>
      <w:r w:rsidR="00FF2F2C">
        <w:t xml:space="preserve"> Reconfiguration</w:t>
      </w:r>
    </w:p>
    <w:p w14:paraId="03FF1C96" w14:textId="049B54CB" w:rsidR="00C80DBF" w:rsidRPr="0033697B" w:rsidRDefault="004D75F7" w:rsidP="00A757D7">
      <w:pPr>
        <w:pStyle w:val="Doc-text2"/>
        <w:ind w:left="0" w:firstLine="0"/>
        <w:rPr>
          <w:rFonts w:ascii="Times New Roman" w:hAnsi="Times New Roman" w:cs="Times New Roman"/>
          <w:szCs w:val="20"/>
        </w:rPr>
      </w:pPr>
      <w:r w:rsidRPr="0033697B">
        <w:rPr>
          <w:rFonts w:ascii="Times New Roman" w:hAnsi="Times New Roman" w:cs="Times New Roman"/>
          <w:noProof/>
          <w:szCs w:val="20"/>
        </w:rPr>
        <mc:AlternateContent>
          <mc:Choice Requires="wps">
            <w:drawing>
              <wp:anchor distT="0" distB="0" distL="114300" distR="114300" simplePos="0" relativeHeight="251662336" behindDoc="0" locked="0" layoutInCell="1" allowOverlap="1" wp14:anchorId="23E00B5C" wp14:editId="48A77A01">
                <wp:simplePos x="0" y="0"/>
                <wp:positionH relativeFrom="column">
                  <wp:posOffset>8890</wp:posOffset>
                </wp:positionH>
                <wp:positionV relativeFrom="paragraph">
                  <wp:posOffset>412115</wp:posOffset>
                </wp:positionV>
                <wp:extent cx="5906770" cy="2263775"/>
                <wp:effectExtent l="0" t="0" r="17780" b="22225"/>
                <wp:wrapTopAndBottom/>
                <wp:docPr id="3" name="文本框 3"/>
                <wp:cNvGraphicFramePr/>
                <a:graphic xmlns:a="http://schemas.openxmlformats.org/drawingml/2006/main">
                  <a:graphicData uri="http://schemas.microsoft.com/office/word/2010/wordprocessingShape">
                    <wps:wsp>
                      <wps:cNvSpPr txBox="1"/>
                      <wps:spPr>
                        <a:xfrm>
                          <a:off x="0" y="0"/>
                          <a:ext cx="5906770" cy="2263775"/>
                        </a:xfrm>
                        <a:prstGeom prst="rect">
                          <a:avLst/>
                        </a:prstGeom>
                        <a:solidFill>
                          <a:schemeClr val="lt1"/>
                        </a:solidFill>
                        <a:ln w="6350">
                          <a:solidFill>
                            <a:prstClr val="black"/>
                          </a:solidFill>
                        </a:ln>
                      </wps:spPr>
                      <wps:txbx>
                        <w:txbxContent>
                          <w:p w14:paraId="14EAEC51" w14:textId="77777777" w:rsidR="004D75F7" w:rsidRDefault="004D75F7" w:rsidP="004D75F7">
                            <w:pPr>
                              <w:pStyle w:val="2"/>
                            </w:pPr>
                            <w:bookmarkStart w:id="2" w:name="_Toc98351704"/>
                            <w:bookmarkStart w:id="3" w:name="_Toc98748002"/>
                            <w:bookmarkStart w:id="4" w:name="_Toc105704388"/>
                            <w:bookmarkStart w:id="5" w:name="_Toc106108506"/>
                            <w:bookmarkStart w:id="6" w:name="_Toc107829478"/>
                            <w:r>
                              <w:rPr>
                                <w:lang w:eastAsia="en-GB"/>
                              </w:rPr>
                              <w:t>7.8</w:t>
                            </w:r>
                            <w:r>
                              <w:rPr>
                                <w:lang w:eastAsia="en-GB"/>
                              </w:rPr>
                              <w:tab/>
                              <w:t>PCI Optimisation Function</w:t>
                            </w:r>
                            <w:bookmarkEnd w:id="2"/>
                            <w:bookmarkEnd w:id="3"/>
                            <w:bookmarkEnd w:id="4"/>
                            <w:bookmarkEnd w:id="5"/>
                            <w:bookmarkEnd w:id="6"/>
                          </w:p>
                          <w:p w14:paraId="13789899" w14:textId="77777777" w:rsidR="004D75F7" w:rsidRDefault="004D75F7" w:rsidP="004D75F7">
                            <w:pPr>
                              <w:rPr>
                                <w:lang w:val="en-US" w:eastAsia="zh-CN"/>
                              </w:rPr>
                            </w:pPr>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p>
                          <w:p w14:paraId="1482EFC4" w14:textId="77777777" w:rsidR="004D75F7" w:rsidRDefault="004D75F7" w:rsidP="004D75F7">
                            <w:pPr>
                              <w:rPr>
                                <w:lang w:val="en-US" w:eastAsia="zh-CN"/>
                              </w:rPr>
                            </w:pPr>
                            <w:r>
                              <w:rPr>
                                <w:lang w:val="en-US" w:eastAsia="zh-CN"/>
                              </w:rPr>
                              <w:t xml:space="preserve">In split </w:t>
                            </w:r>
                            <w:proofErr w:type="spellStart"/>
                            <w:r>
                              <w:rPr>
                                <w:lang w:val="en-US" w:eastAsia="zh-CN"/>
                              </w:rPr>
                              <w:t>gNB</w:t>
                            </w:r>
                            <w:proofErr w:type="spellEnd"/>
                            <w:r>
                              <w:rPr>
                                <w:lang w:val="en-US" w:eastAsia="zh-CN"/>
                              </w:rPr>
                              <w:t xml:space="preserve"> architecture, </w:t>
                            </w:r>
                            <w:r w:rsidRPr="004D75F7">
                              <w:rPr>
                                <w:highlight w:val="yellow"/>
                                <w:lang w:val="en-US" w:eastAsia="zh-CN"/>
                              </w:rPr>
                              <w:t>the OAM configures a PCI</w:t>
                            </w:r>
                            <w:r>
                              <w:rPr>
                                <w:lang w:val="en-US" w:eastAsia="zh-CN"/>
                              </w:rPr>
                              <w:t xml:space="preserve"> for each NR cell to the </w:t>
                            </w:r>
                            <w:proofErr w:type="spellStart"/>
                            <w:r>
                              <w:rPr>
                                <w:lang w:val="en-US" w:eastAsia="zh-CN"/>
                              </w:rPr>
                              <w:t>gNB</w:t>
                            </w:r>
                            <w:proofErr w:type="spellEnd"/>
                            <w:r>
                              <w:rPr>
                                <w:lang w:val="en-US" w:eastAsia="zh-CN"/>
                              </w:rPr>
                              <w:t>-DU.</w:t>
                            </w:r>
                          </w:p>
                          <w:p w14:paraId="7E34DEEF" w14:textId="77777777" w:rsidR="004D75F7" w:rsidRDefault="004D75F7" w:rsidP="004D75F7">
                            <w:pPr>
                              <w:rPr>
                                <w:lang w:val="en-US" w:eastAsia="zh-CN"/>
                              </w:rPr>
                            </w:pPr>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 xml:space="preserve">-CU detects PCI conflict of NR cells and reports the NR cells suffering PCI conflict to OAM directly. </w:t>
                            </w:r>
                            <w:r w:rsidRPr="004D75F7">
                              <w:rPr>
                                <w:highlight w:val="yellow"/>
                                <w:lang w:val="en-US" w:eastAsia="zh-CN"/>
                              </w:rPr>
                              <w:t>The OAM is in charge of reassigning a new PCI for the NR cell subject to PCI conflict.</w:t>
                            </w:r>
                          </w:p>
                          <w:p w14:paraId="4D596186" w14:textId="77777777" w:rsidR="004D75F7" w:rsidRDefault="004D75F7" w:rsidP="004D75F7">
                            <w:pPr>
                              <w:rPr>
                                <w:lang w:val="en-US" w:eastAsia="zh-CN"/>
                              </w:rPr>
                            </w:pPr>
                            <w:r>
                              <w:rPr>
                                <w:lang w:val="en-US" w:eastAsia="zh-CN"/>
                              </w:rPr>
                              <w:t xml:space="preserve">For distributed PCI assignment in split </w:t>
                            </w:r>
                            <w:proofErr w:type="spellStart"/>
                            <w:r>
                              <w:rPr>
                                <w:lang w:val="en-US" w:eastAsia="zh-CN"/>
                              </w:rPr>
                              <w:t>gNB</w:t>
                            </w:r>
                            <w:proofErr w:type="spellEnd"/>
                            <w:r>
                              <w:rPr>
                                <w:lang w:val="en-US" w:eastAsia="zh-CN"/>
                              </w:rPr>
                              <w:t xml:space="preserve"> architecture, the </w:t>
                            </w:r>
                            <w:r w:rsidRPr="004D75F7">
                              <w:rPr>
                                <w:highlight w:val="yellow"/>
                                <w:lang w:val="en-US" w:eastAsia="zh-CN"/>
                              </w:rPr>
                              <w:t>OAM assigns</w:t>
                            </w:r>
                            <w:r w:rsidRPr="004D75F7">
                              <w:rPr>
                                <w:rFonts w:hint="eastAsia"/>
                                <w:highlight w:val="yellow"/>
                                <w:lang w:val="en-US" w:eastAsia="zh-CN"/>
                              </w:rPr>
                              <w:t xml:space="preserve"> </w:t>
                            </w:r>
                            <w:r w:rsidRPr="004D75F7">
                              <w:rPr>
                                <w:highlight w:val="yellow"/>
                                <w:lang w:val="en-US" w:eastAsia="zh-CN"/>
                              </w:rPr>
                              <w:t xml:space="preserve">a list of PCIs for each NR cell and sends the configured PCI list to the </w:t>
                            </w:r>
                            <w:proofErr w:type="spellStart"/>
                            <w:r w:rsidRPr="004D75F7">
                              <w:rPr>
                                <w:highlight w:val="yellow"/>
                                <w:lang w:val="en-US" w:eastAsia="zh-CN"/>
                              </w:rPr>
                              <w:t>gNB</w:t>
                            </w:r>
                            <w:proofErr w:type="spellEnd"/>
                            <w:r w:rsidRPr="004D75F7">
                              <w:rPr>
                                <w:highlight w:val="yellow"/>
                                <w:lang w:val="en-US" w:eastAsia="zh-CN"/>
                              </w:rPr>
                              <w:t>-CU</w:t>
                            </w:r>
                            <w:r>
                              <w:rPr>
                                <w:lang w:val="en-US" w:eastAsia="zh-CN"/>
                              </w:rPr>
                              <w:t xml:space="preserve">. If the </w:t>
                            </w:r>
                            <w:proofErr w:type="spellStart"/>
                            <w:r>
                              <w:rPr>
                                <w:lang w:val="en-US" w:eastAsia="zh-CN"/>
                              </w:rPr>
                              <w:t>gNB</w:t>
                            </w:r>
                            <w:proofErr w:type="spellEnd"/>
                            <w:r>
                              <w:rPr>
                                <w:lang w:val="en-US" w:eastAsia="zh-CN"/>
                              </w:rPr>
                              <w:t xml:space="preserve">-CU detects PCI conflict, </w:t>
                            </w:r>
                            <w:r w:rsidRPr="004D75F7">
                              <w:rPr>
                                <w:highlight w:val="yellow"/>
                                <w:lang w:val="en-US" w:eastAsia="zh-CN"/>
                              </w:rPr>
                              <w:t xml:space="preserve">the </w:t>
                            </w:r>
                            <w:proofErr w:type="spellStart"/>
                            <w:r w:rsidRPr="004D75F7">
                              <w:rPr>
                                <w:highlight w:val="yellow"/>
                                <w:lang w:val="en-US" w:eastAsia="zh-CN"/>
                              </w:rPr>
                              <w:t>gNB</w:t>
                            </w:r>
                            <w:proofErr w:type="spellEnd"/>
                            <w:r w:rsidRPr="004D75F7">
                              <w:rPr>
                                <w:highlight w:val="yellow"/>
                                <w:lang w:val="en-US" w:eastAsia="zh-CN"/>
                              </w:rPr>
                              <w:t xml:space="preserve">-CU may select a new PCI value from the preconfigured PCI list for the NR cell and send it to the </w:t>
                            </w:r>
                            <w:proofErr w:type="spellStart"/>
                            <w:r w:rsidRPr="004D75F7">
                              <w:rPr>
                                <w:highlight w:val="yellow"/>
                                <w:lang w:val="en-US" w:eastAsia="zh-CN"/>
                              </w:rPr>
                              <w:t>gNB</w:t>
                            </w:r>
                            <w:proofErr w:type="spellEnd"/>
                            <w:r w:rsidRPr="004D75F7">
                              <w:rPr>
                                <w:highlight w:val="yellow"/>
                                <w:lang w:val="en-US" w:eastAsia="zh-CN"/>
                              </w:rPr>
                              <w:t>-DU</w:t>
                            </w:r>
                            <w:r>
                              <w:rPr>
                                <w:lang w:val="en-US" w:eastAsia="zh-CN"/>
                              </w:rPr>
                              <w:t xml:space="preserve"> by either F1 Setup procedure or </w:t>
                            </w:r>
                            <w:proofErr w:type="spellStart"/>
                            <w:r>
                              <w:rPr>
                                <w:lang w:val="en-US" w:eastAsia="zh-CN"/>
                              </w:rPr>
                              <w:t>gNB</w:t>
                            </w:r>
                            <w:proofErr w:type="spellEnd"/>
                            <w:r>
                              <w:rPr>
                                <w:lang w:val="en-US" w:eastAsia="zh-CN"/>
                              </w:rPr>
                              <w:t>-CU configuration update procedure.</w:t>
                            </w:r>
                          </w:p>
                          <w:p w14:paraId="5B18F05C" w14:textId="77777777" w:rsidR="004D75F7" w:rsidRPr="004D75F7" w:rsidRDefault="004D75F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E00B5C" id="文本框 3" o:spid="_x0000_s1028" type="#_x0000_t202" style="position:absolute;margin-left:.7pt;margin-top:32.45pt;width:465.1pt;height:178.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" fillcolor="white [3201]" strokeweight=".5pt">
                <v:textbox>
                  <w:txbxContent>
                    <w:p w14:paraId="14EAEC51" w14:textId="77777777" w:rsidR="004D75F7" w:rsidRDefault="004D75F7" w:rsidP="004D75F7">
                      <w:pPr>
                        <w:pStyle w:val="2"/>
                      </w:pPr>
                      <w:bookmarkStart w:id="8" w:name="_Toc98351704"/>
                      <w:bookmarkStart w:id="9" w:name="_Toc98748002"/>
                      <w:bookmarkStart w:id="10" w:name="_Toc105704388"/>
                      <w:bookmarkStart w:id="11" w:name="_Toc106108506"/>
                      <w:bookmarkStart w:id="12" w:name="_Toc107829478"/>
                      <w:r>
                        <w:rPr>
                          <w:lang w:eastAsia="en-GB"/>
                        </w:rPr>
                        <w:t>7.8</w:t>
                      </w:r>
                      <w:r>
                        <w:rPr>
                          <w:lang w:eastAsia="en-GB"/>
                        </w:rPr>
                        <w:tab/>
                        <w:t>PCI Optimisation Function</w:t>
                      </w:r>
                      <w:bookmarkEnd w:id="8"/>
                      <w:bookmarkEnd w:id="9"/>
                      <w:bookmarkEnd w:id="10"/>
                      <w:bookmarkEnd w:id="11"/>
                      <w:bookmarkEnd w:id="12"/>
                    </w:p>
                    <w:p w14:paraId="13789899" w14:textId="77777777" w:rsidR="004D75F7" w:rsidRDefault="004D75F7" w:rsidP="004D75F7">
                      <w:pPr>
                        <w:rPr>
                          <w:lang w:val="en-US" w:eastAsia="zh-CN"/>
                        </w:rPr>
                      </w:pPr>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p>
                    <w:p w14:paraId="1482EFC4" w14:textId="77777777" w:rsidR="004D75F7" w:rsidRDefault="004D75F7" w:rsidP="004D75F7">
                      <w:pPr>
                        <w:rPr>
                          <w:lang w:val="en-US" w:eastAsia="zh-CN"/>
                        </w:rPr>
                      </w:pPr>
                      <w:r>
                        <w:rPr>
                          <w:lang w:val="en-US" w:eastAsia="zh-CN"/>
                        </w:rPr>
                        <w:t xml:space="preserve">In split </w:t>
                      </w:r>
                      <w:proofErr w:type="spellStart"/>
                      <w:r>
                        <w:rPr>
                          <w:lang w:val="en-US" w:eastAsia="zh-CN"/>
                        </w:rPr>
                        <w:t>gNB</w:t>
                      </w:r>
                      <w:proofErr w:type="spellEnd"/>
                      <w:r>
                        <w:rPr>
                          <w:lang w:val="en-US" w:eastAsia="zh-CN"/>
                        </w:rPr>
                        <w:t xml:space="preserve"> architecture, </w:t>
                      </w:r>
                      <w:r w:rsidRPr="004D75F7">
                        <w:rPr>
                          <w:highlight w:val="yellow"/>
                          <w:lang w:val="en-US" w:eastAsia="zh-CN"/>
                        </w:rPr>
                        <w:t>the OAM configures a PCI</w:t>
                      </w:r>
                      <w:r>
                        <w:rPr>
                          <w:lang w:val="en-US" w:eastAsia="zh-CN"/>
                        </w:rPr>
                        <w:t xml:space="preserve"> for each NR cell to the </w:t>
                      </w:r>
                      <w:proofErr w:type="spellStart"/>
                      <w:r>
                        <w:rPr>
                          <w:lang w:val="en-US" w:eastAsia="zh-CN"/>
                        </w:rPr>
                        <w:t>gNB</w:t>
                      </w:r>
                      <w:proofErr w:type="spellEnd"/>
                      <w:r>
                        <w:rPr>
                          <w:lang w:val="en-US" w:eastAsia="zh-CN"/>
                        </w:rPr>
                        <w:t>-DU.</w:t>
                      </w:r>
                    </w:p>
                    <w:p w14:paraId="7E34DEEF" w14:textId="77777777" w:rsidR="004D75F7" w:rsidRDefault="004D75F7" w:rsidP="004D75F7">
                      <w:pPr>
                        <w:rPr>
                          <w:lang w:val="en-US" w:eastAsia="zh-CN"/>
                        </w:rPr>
                      </w:pPr>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 xml:space="preserve">-CU detects PCI conflict of NR cells and reports the NR cells suffering PCI conflict to OAM directly. </w:t>
                      </w:r>
                      <w:r w:rsidRPr="004D75F7">
                        <w:rPr>
                          <w:highlight w:val="yellow"/>
                          <w:lang w:val="en-US" w:eastAsia="zh-CN"/>
                        </w:rPr>
                        <w:t>The OAM is in charge of reassigning a new PCI for the NR cell subject to PCI conflict.</w:t>
                      </w:r>
                    </w:p>
                    <w:p w14:paraId="4D596186" w14:textId="77777777" w:rsidR="004D75F7" w:rsidRDefault="004D75F7" w:rsidP="004D75F7">
                      <w:pPr>
                        <w:rPr>
                          <w:lang w:val="en-US" w:eastAsia="zh-CN"/>
                        </w:rPr>
                      </w:pPr>
                      <w:r>
                        <w:rPr>
                          <w:lang w:val="en-US" w:eastAsia="zh-CN"/>
                        </w:rPr>
                        <w:t xml:space="preserve">For distributed PCI assignment in split </w:t>
                      </w:r>
                      <w:proofErr w:type="spellStart"/>
                      <w:r>
                        <w:rPr>
                          <w:lang w:val="en-US" w:eastAsia="zh-CN"/>
                        </w:rPr>
                        <w:t>gNB</w:t>
                      </w:r>
                      <w:proofErr w:type="spellEnd"/>
                      <w:r>
                        <w:rPr>
                          <w:lang w:val="en-US" w:eastAsia="zh-CN"/>
                        </w:rPr>
                        <w:t xml:space="preserve"> architecture, the </w:t>
                      </w:r>
                      <w:r w:rsidRPr="004D75F7">
                        <w:rPr>
                          <w:highlight w:val="yellow"/>
                          <w:lang w:val="en-US" w:eastAsia="zh-CN"/>
                        </w:rPr>
                        <w:t>OAM assigns</w:t>
                      </w:r>
                      <w:r w:rsidRPr="004D75F7">
                        <w:rPr>
                          <w:rFonts w:hint="eastAsia"/>
                          <w:highlight w:val="yellow"/>
                          <w:lang w:val="en-US" w:eastAsia="zh-CN"/>
                        </w:rPr>
                        <w:t xml:space="preserve"> </w:t>
                      </w:r>
                      <w:r w:rsidRPr="004D75F7">
                        <w:rPr>
                          <w:highlight w:val="yellow"/>
                          <w:lang w:val="en-US" w:eastAsia="zh-CN"/>
                        </w:rPr>
                        <w:t xml:space="preserve">a list of PCIs for each NR cell and sends the configured PCI list to the </w:t>
                      </w:r>
                      <w:proofErr w:type="spellStart"/>
                      <w:r w:rsidRPr="004D75F7">
                        <w:rPr>
                          <w:highlight w:val="yellow"/>
                          <w:lang w:val="en-US" w:eastAsia="zh-CN"/>
                        </w:rPr>
                        <w:t>gNB</w:t>
                      </w:r>
                      <w:proofErr w:type="spellEnd"/>
                      <w:r w:rsidRPr="004D75F7">
                        <w:rPr>
                          <w:highlight w:val="yellow"/>
                          <w:lang w:val="en-US" w:eastAsia="zh-CN"/>
                        </w:rPr>
                        <w:t>-CU</w:t>
                      </w:r>
                      <w:r>
                        <w:rPr>
                          <w:lang w:val="en-US" w:eastAsia="zh-CN"/>
                        </w:rPr>
                        <w:t xml:space="preserve">. If the </w:t>
                      </w:r>
                      <w:proofErr w:type="spellStart"/>
                      <w:r>
                        <w:rPr>
                          <w:lang w:val="en-US" w:eastAsia="zh-CN"/>
                        </w:rPr>
                        <w:t>gNB</w:t>
                      </w:r>
                      <w:proofErr w:type="spellEnd"/>
                      <w:r>
                        <w:rPr>
                          <w:lang w:val="en-US" w:eastAsia="zh-CN"/>
                        </w:rPr>
                        <w:t xml:space="preserve">-CU detects PCI conflict, </w:t>
                      </w:r>
                      <w:r w:rsidRPr="004D75F7">
                        <w:rPr>
                          <w:highlight w:val="yellow"/>
                          <w:lang w:val="en-US" w:eastAsia="zh-CN"/>
                        </w:rPr>
                        <w:t xml:space="preserve">the </w:t>
                      </w:r>
                      <w:proofErr w:type="spellStart"/>
                      <w:r w:rsidRPr="004D75F7">
                        <w:rPr>
                          <w:highlight w:val="yellow"/>
                          <w:lang w:val="en-US" w:eastAsia="zh-CN"/>
                        </w:rPr>
                        <w:t>gNB</w:t>
                      </w:r>
                      <w:proofErr w:type="spellEnd"/>
                      <w:r w:rsidRPr="004D75F7">
                        <w:rPr>
                          <w:highlight w:val="yellow"/>
                          <w:lang w:val="en-US" w:eastAsia="zh-CN"/>
                        </w:rPr>
                        <w:t xml:space="preserve">-CU may select a new PCI value from the preconfigured PCI list for the NR cell and send it to the </w:t>
                      </w:r>
                      <w:proofErr w:type="spellStart"/>
                      <w:r w:rsidRPr="004D75F7">
                        <w:rPr>
                          <w:highlight w:val="yellow"/>
                          <w:lang w:val="en-US" w:eastAsia="zh-CN"/>
                        </w:rPr>
                        <w:t>gNB</w:t>
                      </w:r>
                      <w:proofErr w:type="spellEnd"/>
                      <w:r w:rsidRPr="004D75F7">
                        <w:rPr>
                          <w:highlight w:val="yellow"/>
                          <w:lang w:val="en-US" w:eastAsia="zh-CN"/>
                        </w:rPr>
                        <w:t>-DU</w:t>
                      </w:r>
                      <w:r>
                        <w:rPr>
                          <w:lang w:val="en-US" w:eastAsia="zh-CN"/>
                        </w:rPr>
                        <w:t xml:space="preserve"> by either F1 Setup procedure or </w:t>
                      </w:r>
                      <w:proofErr w:type="spellStart"/>
                      <w:r>
                        <w:rPr>
                          <w:lang w:val="en-US" w:eastAsia="zh-CN"/>
                        </w:rPr>
                        <w:t>gNB</w:t>
                      </w:r>
                      <w:proofErr w:type="spellEnd"/>
                      <w:r>
                        <w:rPr>
                          <w:lang w:val="en-US" w:eastAsia="zh-CN"/>
                        </w:rPr>
                        <w:t>-CU configuration update procedure.</w:t>
                      </w:r>
                    </w:p>
                    <w:p w14:paraId="5B18F05C" w14:textId="77777777" w:rsidR="004D75F7" w:rsidRPr="004D75F7" w:rsidRDefault="004D75F7">
                      <w:pPr>
                        <w:rPr>
                          <w:lang w:val="en-US"/>
                        </w:rPr>
                      </w:pPr>
                    </w:p>
                  </w:txbxContent>
                </v:textbox>
                <w10:wrap type="topAndBottom"/>
              </v:shape>
            </w:pict>
          </mc:Fallback>
        </mc:AlternateContent>
      </w:r>
      <w:r w:rsidRPr="0033697B">
        <w:rPr>
          <w:rFonts w:ascii="Times New Roman" w:hAnsi="Times New Roman" w:cs="Times New Roman"/>
          <w:szCs w:val="20"/>
        </w:rPr>
        <w:t>In last RAN3 meeting, RAN3 decide to further discuss how should the NCGI be configured. In our view, the NC</w:t>
      </w:r>
      <w:r w:rsidR="00062604" w:rsidRPr="0033697B">
        <w:rPr>
          <w:rFonts w:ascii="Times New Roman" w:hAnsi="Times New Roman" w:cs="Times New Roman"/>
          <w:szCs w:val="20"/>
        </w:rPr>
        <w:t>G</w:t>
      </w:r>
      <w:r w:rsidRPr="0033697B">
        <w:rPr>
          <w:rFonts w:ascii="Times New Roman" w:hAnsi="Times New Roman" w:cs="Times New Roman"/>
          <w:szCs w:val="20"/>
        </w:rPr>
        <w:t xml:space="preserve">I configuration can refer to PCI configuration in PCI </w:t>
      </w:r>
      <w:r w:rsidR="00FF2F2C" w:rsidRPr="0033697B">
        <w:rPr>
          <w:rFonts w:ascii="Times New Roman" w:hAnsi="Times New Roman" w:cs="Times New Roman"/>
          <w:szCs w:val="20"/>
        </w:rPr>
        <w:t>optimisation</w:t>
      </w:r>
      <w:r w:rsidRPr="0033697B">
        <w:rPr>
          <w:rFonts w:ascii="Times New Roman" w:hAnsi="Times New Roman" w:cs="Times New Roman"/>
          <w:szCs w:val="20"/>
        </w:rPr>
        <w:t xml:space="preserve"> function. </w:t>
      </w:r>
    </w:p>
    <w:p w14:paraId="57E0D4FC" w14:textId="03FBE6B5" w:rsidR="004D75F7" w:rsidRPr="0033697B" w:rsidRDefault="004D75F7" w:rsidP="00A757D7">
      <w:pPr>
        <w:pStyle w:val="Doc-text2"/>
        <w:ind w:left="0" w:firstLine="0"/>
        <w:rPr>
          <w:rFonts w:ascii="Times New Roman" w:hAnsi="Times New Roman" w:cs="Times New Roman"/>
          <w:szCs w:val="20"/>
        </w:rPr>
      </w:pPr>
    </w:p>
    <w:p w14:paraId="26B4D1B3" w14:textId="61A1C668" w:rsidR="004D75F7" w:rsidRPr="0033697B" w:rsidRDefault="005C524F" w:rsidP="00A757D7">
      <w:pPr>
        <w:pStyle w:val="Doc-text2"/>
        <w:ind w:left="0" w:firstLine="0"/>
        <w:rPr>
          <w:rFonts w:ascii="Times New Roman" w:hAnsi="Times New Roman" w:cs="Times New Roman"/>
          <w:szCs w:val="20"/>
        </w:rPr>
      </w:pPr>
      <w:r w:rsidRPr="0033697B">
        <w:rPr>
          <w:rFonts w:ascii="Times New Roman" w:hAnsi="Times New Roman" w:cs="Times New Roman"/>
          <w:szCs w:val="20"/>
        </w:rPr>
        <w:t xml:space="preserve">Similar to PCI reconfiguration, the </w:t>
      </w:r>
      <w:r w:rsidR="00F14DCE" w:rsidRPr="0033697B">
        <w:rPr>
          <w:rFonts w:ascii="Times New Roman" w:hAnsi="Times New Roman" w:cs="Times New Roman"/>
          <w:szCs w:val="20"/>
        </w:rPr>
        <w:t xml:space="preserve">reconfiguration of </w:t>
      </w:r>
      <w:r w:rsidRPr="0033697B">
        <w:rPr>
          <w:rFonts w:ascii="Times New Roman" w:hAnsi="Times New Roman" w:cs="Times New Roman"/>
          <w:szCs w:val="20"/>
        </w:rPr>
        <w:t>NC</w:t>
      </w:r>
      <w:r w:rsidR="00062604" w:rsidRPr="0033697B">
        <w:rPr>
          <w:rFonts w:ascii="Times New Roman" w:hAnsi="Times New Roman" w:cs="Times New Roman"/>
          <w:szCs w:val="20"/>
        </w:rPr>
        <w:t>G</w:t>
      </w:r>
      <w:r w:rsidRPr="0033697B">
        <w:rPr>
          <w:rFonts w:ascii="Times New Roman" w:hAnsi="Times New Roman" w:cs="Times New Roman"/>
          <w:szCs w:val="20"/>
        </w:rPr>
        <w:t>I for the IAB-node should be assigned by OAM. Both centralized assignment and distributed assignment can be considered.</w:t>
      </w:r>
    </w:p>
    <w:p w14:paraId="0D0DFBB7" w14:textId="77777777" w:rsidR="005C524F" w:rsidRPr="0033697B" w:rsidRDefault="005C524F" w:rsidP="00A757D7">
      <w:pPr>
        <w:pStyle w:val="Doc-text2"/>
        <w:ind w:left="0" w:firstLine="0"/>
        <w:rPr>
          <w:rFonts w:ascii="Times New Roman" w:hAnsi="Times New Roman" w:cs="Times New Roman"/>
          <w:szCs w:val="20"/>
        </w:rPr>
      </w:pPr>
    </w:p>
    <w:p w14:paraId="2C76160E" w14:textId="37F60629" w:rsidR="004D75F7" w:rsidRPr="0033697B" w:rsidRDefault="005C524F" w:rsidP="00A757D7">
      <w:pPr>
        <w:pStyle w:val="Doc-text2"/>
        <w:ind w:left="0" w:firstLine="0"/>
        <w:rPr>
          <w:rFonts w:ascii="Times New Roman" w:hAnsi="Times New Roman" w:cs="Times New Roman"/>
          <w:szCs w:val="20"/>
        </w:rPr>
      </w:pPr>
      <w:r w:rsidRPr="0033697B">
        <w:rPr>
          <w:rFonts w:ascii="Times New Roman" w:hAnsi="Times New Roman" w:cs="Times New Roman"/>
          <w:szCs w:val="20"/>
        </w:rPr>
        <w:t>For centralized assignment, OAM can send the new NC</w:t>
      </w:r>
      <w:r w:rsidR="00062604" w:rsidRPr="0033697B">
        <w:rPr>
          <w:rFonts w:ascii="Times New Roman" w:hAnsi="Times New Roman" w:cs="Times New Roman"/>
          <w:szCs w:val="20"/>
        </w:rPr>
        <w:t>G</w:t>
      </w:r>
      <w:r w:rsidRPr="0033697B">
        <w:rPr>
          <w:rFonts w:ascii="Times New Roman" w:hAnsi="Times New Roman" w:cs="Times New Roman"/>
          <w:szCs w:val="20"/>
        </w:rPr>
        <w:t>I to the mobile IAB node via PDU session with OAM;</w:t>
      </w:r>
    </w:p>
    <w:p w14:paraId="75D11D3D" w14:textId="4B7686D8" w:rsidR="005C524F" w:rsidRPr="0033697B" w:rsidRDefault="005C524F" w:rsidP="00A757D7">
      <w:pPr>
        <w:pStyle w:val="Doc-text2"/>
        <w:ind w:left="0" w:firstLine="0"/>
        <w:rPr>
          <w:rFonts w:ascii="Times New Roman" w:hAnsi="Times New Roman" w:cs="Times New Roman"/>
          <w:szCs w:val="20"/>
        </w:rPr>
      </w:pPr>
      <w:r w:rsidRPr="0033697B">
        <w:rPr>
          <w:rFonts w:ascii="Times New Roman" w:hAnsi="Times New Roman" w:cs="Times New Roman"/>
          <w:szCs w:val="20"/>
        </w:rPr>
        <w:t>For distributed assignment, OAM can assign list of NCGIs to the IAB-donor-CU, if new mobile IAB-DU is connected to this IAB-donor-CU, IAB-donor-CU can assign one of the available NC</w:t>
      </w:r>
      <w:r w:rsidR="00062604" w:rsidRPr="0033697B">
        <w:rPr>
          <w:rFonts w:ascii="Times New Roman" w:hAnsi="Times New Roman" w:cs="Times New Roman"/>
          <w:szCs w:val="20"/>
        </w:rPr>
        <w:t>G</w:t>
      </w:r>
      <w:r w:rsidRPr="0033697B">
        <w:rPr>
          <w:rFonts w:ascii="Times New Roman" w:hAnsi="Times New Roman" w:cs="Times New Roman"/>
          <w:szCs w:val="20"/>
        </w:rPr>
        <w:t>I to the cells in IAB-DU.</w:t>
      </w:r>
    </w:p>
    <w:p w14:paraId="40676DEE" w14:textId="77777777" w:rsidR="005C524F" w:rsidRPr="0033697B" w:rsidRDefault="005C524F" w:rsidP="00A757D7">
      <w:pPr>
        <w:pStyle w:val="Doc-text2"/>
        <w:ind w:left="0" w:firstLine="0"/>
        <w:rPr>
          <w:rFonts w:ascii="Times New Roman" w:hAnsi="Times New Roman" w:cs="Times New Roman"/>
          <w:szCs w:val="20"/>
        </w:rPr>
      </w:pPr>
    </w:p>
    <w:p w14:paraId="7D76E5BB" w14:textId="0775B62F" w:rsidR="005C524F" w:rsidRPr="0033697B" w:rsidRDefault="005C524F" w:rsidP="00877B02">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Proposal</w:t>
      </w:r>
      <w:r w:rsidR="00877B02" w:rsidRPr="0033697B">
        <w:rPr>
          <w:rFonts w:ascii="Times New Roman" w:eastAsia="宋体" w:hAnsi="Times New Roman" w:cs="Times New Roman"/>
          <w:b/>
          <w:szCs w:val="20"/>
          <w:lang w:eastAsia="en-US"/>
        </w:rPr>
        <w:t xml:space="preserve"> 5</w:t>
      </w:r>
      <w:r w:rsidRPr="0033697B">
        <w:rPr>
          <w:rFonts w:ascii="Times New Roman" w:eastAsia="宋体" w:hAnsi="Times New Roman" w:cs="Times New Roman"/>
          <w:b/>
          <w:szCs w:val="20"/>
          <w:lang w:eastAsia="en-US"/>
        </w:rPr>
        <w:t>, the NCGI for the IAB-node should be assigned by OAM</w:t>
      </w:r>
    </w:p>
    <w:p w14:paraId="17D28A2A" w14:textId="42CCA7AE" w:rsidR="00C80DBF" w:rsidRPr="0033697B" w:rsidRDefault="005C524F" w:rsidP="00402EAF">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Proposal</w:t>
      </w:r>
      <w:r w:rsidR="00877B02" w:rsidRPr="0033697B">
        <w:rPr>
          <w:rFonts w:ascii="Times New Roman" w:eastAsia="宋体" w:hAnsi="Times New Roman" w:cs="Times New Roman"/>
          <w:b/>
          <w:szCs w:val="20"/>
          <w:lang w:eastAsia="en-US"/>
        </w:rPr>
        <w:t xml:space="preserve"> 6</w:t>
      </w:r>
      <w:r w:rsidRPr="0033697B">
        <w:rPr>
          <w:rFonts w:ascii="Times New Roman" w:eastAsia="宋体" w:hAnsi="Times New Roman" w:cs="Times New Roman"/>
          <w:b/>
          <w:szCs w:val="20"/>
          <w:lang w:eastAsia="en-US"/>
        </w:rPr>
        <w:t xml:space="preserve">, both </w:t>
      </w:r>
      <w:r w:rsidR="00FA2068" w:rsidRPr="0033697B">
        <w:rPr>
          <w:rFonts w:ascii="Times New Roman" w:eastAsia="宋体" w:hAnsi="Times New Roman" w:cs="Times New Roman"/>
          <w:b/>
          <w:szCs w:val="20"/>
          <w:lang w:eastAsia="en-US"/>
        </w:rPr>
        <w:t>centralized NCGI assignment and distributed NCGI assignment can be supported.</w:t>
      </w:r>
      <w:r w:rsidR="00BA311B" w:rsidRPr="0033697B">
        <w:rPr>
          <w:rFonts w:ascii="Times New Roman" w:hAnsi="Times New Roman" w:cs="Times New Roman"/>
          <w:szCs w:val="20"/>
        </w:rPr>
        <w:tab/>
      </w:r>
    </w:p>
    <w:bookmarkEnd w:id="0"/>
    <w:p w14:paraId="0D110258" w14:textId="77777777" w:rsidR="00CD4C7B" w:rsidRPr="006E13D1" w:rsidRDefault="00972FD7" w:rsidP="00CD4C7B">
      <w:pPr>
        <w:pStyle w:val="1"/>
      </w:pPr>
      <w:r>
        <w:t>3</w:t>
      </w:r>
      <w:r w:rsidR="00CD4C7B" w:rsidRPr="006E13D1">
        <w:tab/>
      </w:r>
      <w:r>
        <w:t>Conclusion</w:t>
      </w:r>
    </w:p>
    <w:p w14:paraId="6093981F" w14:textId="0B9F8820" w:rsidR="00CD4C7B" w:rsidRDefault="00402EAF" w:rsidP="00CD4C7B">
      <w:r>
        <w:t>In this contribution, w</w:t>
      </w:r>
      <w:r w:rsidR="00ED0D91">
        <w:t>e have made the following proposals:</w:t>
      </w:r>
    </w:p>
    <w:p w14:paraId="21F9934C" w14:textId="77777777" w:rsidR="0033697B" w:rsidRPr="0033697B" w:rsidRDefault="0033697B" w:rsidP="0033697B">
      <w:pPr>
        <w:rPr>
          <w:b/>
          <w:lang w:eastAsia="zh-CN"/>
        </w:rPr>
      </w:pPr>
      <w:r w:rsidRPr="0033697B">
        <w:rPr>
          <w:b/>
        </w:rPr>
        <w:t xml:space="preserve">Observation 1, </w:t>
      </w:r>
      <w:r w:rsidRPr="0033697B">
        <w:rPr>
          <w:rFonts w:hint="eastAsia"/>
          <w:b/>
          <w:lang w:eastAsia="zh-CN"/>
        </w:rPr>
        <w:t>the</w:t>
      </w:r>
      <w:r w:rsidRPr="0033697B">
        <w:rPr>
          <w:b/>
        </w:rPr>
        <w:t xml:space="preserve"> </w:t>
      </w:r>
      <w:r w:rsidRPr="0033697B">
        <w:rPr>
          <w:rFonts w:hint="eastAsia"/>
          <w:b/>
          <w:lang w:eastAsia="zh-CN"/>
        </w:rPr>
        <w:t>difference</w:t>
      </w:r>
      <w:r w:rsidRPr="0033697B">
        <w:rPr>
          <w:b/>
        </w:rPr>
        <w:t xml:space="preserve"> </w:t>
      </w:r>
      <w:r w:rsidRPr="0033697B">
        <w:rPr>
          <w:rFonts w:hint="eastAsia"/>
          <w:b/>
          <w:lang w:eastAsia="zh-CN"/>
        </w:rPr>
        <w:t>between</w:t>
      </w:r>
      <w:r w:rsidRPr="0033697B">
        <w:rPr>
          <w:b/>
        </w:rPr>
        <w:t xml:space="preserve"> </w:t>
      </w:r>
      <w:r w:rsidRPr="0033697B">
        <w:rPr>
          <w:rFonts w:hint="eastAsia"/>
          <w:b/>
          <w:lang w:eastAsia="zh-CN"/>
        </w:rPr>
        <w:t>legacy</w:t>
      </w:r>
      <w:r w:rsidRPr="0033697B">
        <w:rPr>
          <w:b/>
        </w:rPr>
        <w:t xml:space="preserve"> UE </w:t>
      </w:r>
      <w:r w:rsidRPr="0033697B">
        <w:rPr>
          <w:rFonts w:hint="eastAsia"/>
          <w:b/>
          <w:lang w:eastAsia="zh-CN"/>
        </w:rPr>
        <w:t>handover</w:t>
      </w:r>
      <w:r w:rsidRPr="0033697B">
        <w:rPr>
          <w:b/>
        </w:rPr>
        <w:t xml:space="preserve"> </w:t>
      </w:r>
      <w:r w:rsidRPr="0033697B">
        <w:rPr>
          <w:rFonts w:hint="eastAsia"/>
          <w:b/>
          <w:lang w:eastAsia="zh-CN"/>
        </w:rPr>
        <w:t>and</w:t>
      </w:r>
      <w:r w:rsidRPr="0033697B">
        <w:rPr>
          <w:b/>
        </w:rPr>
        <w:t xml:space="preserve"> UE </w:t>
      </w:r>
      <w:r w:rsidRPr="0033697B">
        <w:rPr>
          <w:rFonts w:hint="eastAsia"/>
          <w:b/>
          <w:lang w:eastAsia="zh-CN"/>
        </w:rPr>
        <w:t>handover</w:t>
      </w:r>
      <w:r w:rsidRPr="0033697B">
        <w:rPr>
          <w:b/>
        </w:rPr>
        <w:t xml:space="preserve"> </w:t>
      </w:r>
      <w:r w:rsidRPr="0033697B">
        <w:rPr>
          <w:rFonts w:hint="eastAsia"/>
          <w:b/>
          <w:lang w:eastAsia="zh-CN"/>
        </w:rPr>
        <w:t>in</w:t>
      </w:r>
      <w:r w:rsidRPr="0033697B">
        <w:rPr>
          <w:b/>
        </w:rPr>
        <w:t xml:space="preserve"> DU </w:t>
      </w:r>
      <w:r w:rsidRPr="0033697B">
        <w:rPr>
          <w:rFonts w:hint="eastAsia"/>
          <w:b/>
          <w:lang w:eastAsia="zh-CN"/>
        </w:rPr>
        <w:t>migration is</w:t>
      </w:r>
      <w:r w:rsidRPr="0033697B">
        <w:rPr>
          <w:b/>
          <w:lang w:eastAsia="zh-CN"/>
        </w:rPr>
        <w:t xml:space="preserve"> </w:t>
      </w:r>
      <w:r w:rsidRPr="0033697B">
        <w:rPr>
          <w:rFonts w:hint="eastAsia"/>
          <w:b/>
          <w:lang w:eastAsia="zh-CN"/>
        </w:rPr>
        <w:t>that</w:t>
      </w:r>
      <w:r w:rsidRPr="0033697B">
        <w:rPr>
          <w:b/>
          <w:lang w:eastAsia="zh-CN"/>
        </w:rPr>
        <w:t xml:space="preserve"> the source DU (i.e. IAB-DU1) is aware of whether the UE access to the target DU (i.e. IAB-DU2) successfully.</w:t>
      </w:r>
    </w:p>
    <w:p w14:paraId="7E948786" w14:textId="77777777" w:rsidR="0033697B" w:rsidRPr="0033697B" w:rsidRDefault="0033697B" w:rsidP="0033697B">
      <w:pPr>
        <w:rPr>
          <w:b/>
        </w:rPr>
      </w:pPr>
      <w:r w:rsidRPr="0033697B">
        <w:rPr>
          <w:b/>
        </w:rPr>
        <w:t xml:space="preserve">Observation 2, if source DU </w:t>
      </w:r>
      <w:r w:rsidRPr="0033697B">
        <w:rPr>
          <w:b/>
          <w:lang w:eastAsia="zh-CN"/>
        </w:rPr>
        <w:t xml:space="preserve">(i.e. IAB-DU1) </w:t>
      </w:r>
      <w:r w:rsidRPr="0033697B">
        <w:rPr>
          <w:b/>
        </w:rPr>
        <w:t xml:space="preserve">knows that UE access to the target DU </w:t>
      </w:r>
      <w:r w:rsidRPr="0033697B">
        <w:rPr>
          <w:b/>
          <w:lang w:eastAsia="zh-CN"/>
        </w:rPr>
        <w:t xml:space="preserve">(i.e. IAB-DU2) </w:t>
      </w:r>
      <w:r w:rsidRPr="0033697B">
        <w:rPr>
          <w:b/>
        </w:rPr>
        <w:t>successfully, it can release the UE context without further indication from the IAB-donor-CU of the source DU, which saves F1 UE context release signalling and reduce the signalling overhead over F1AP and the overall handover latency.</w:t>
      </w:r>
    </w:p>
    <w:p w14:paraId="2320135F" w14:textId="77777777" w:rsidR="0033697B" w:rsidRPr="0033697B" w:rsidRDefault="0033697B" w:rsidP="0033697B">
      <w:pPr>
        <w:rPr>
          <w:b/>
        </w:rPr>
      </w:pPr>
      <w:r w:rsidRPr="0033697B">
        <w:rPr>
          <w:b/>
        </w:rPr>
        <w:t>Proposal 1, RAN3 agree that the IAB-DU1 can release the UE context by knowing the UE’s successful access to the IAB-DU2.</w:t>
      </w:r>
    </w:p>
    <w:p w14:paraId="2093E860" w14:textId="11BE6B86" w:rsidR="0033697B" w:rsidRDefault="0033697B" w:rsidP="0033697B">
      <w:pPr>
        <w:rPr>
          <w:b/>
        </w:rPr>
      </w:pPr>
      <w:r w:rsidRPr="0033697B">
        <w:rPr>
          <w:b/>
        </w:rPr>
        <w:t>Proposal 2, RAN3 agree that the IAB-donor-CU of the IAB-DU1 should be informed about the UE context release, so that it will not trigger the UE context release procedure.</w:t>
      </w:r>
    </w:p>
    <w:p w14:paraId="2F1D9952" w14:textId="77777777" w:rsidR="0033697B" w:rsidRPr="0033697B" w:rsidRDefault="0033697B" w:rsidP="0033697B">
      <w:pPr>
        <w:rPr>
          <w:b/>
          <w:szCs w:val="22"/>
        </w:rPr>
      </w:pPr>
      <w:r w:rsidRPr="0033697B">
        <w:rPr>
          <w:b/>
          <w:szCs w:val="22"/>
        </w:rPr>
        <w:t xml:space="preserve">Observation 3: it would be beneficial for UE’s efficient handover if the serving </w:t>
      </w:r>
      <w:proofErr w:type="spellStart"/>
      <w:r w:rsidRPr="0033697B">
        <w:rPr>
          <w:b/>
          <w:szCs w:val="22"/>
        </w:rPr>
        <w:t>gNB</w:t>
      </w:r>
      <w:proofErr w:type="spellEnd"/>
      <w:r w:rsidRPr="0033697B">
        <w:rPr>
          <w:b/>
          <w:szCs w:val="22"/>
        </w:rPr>
        <w:t xml:space="preserve"> knows that UE is in the car, i.e. UE is onboard.</w:t>
      </w:r>
    </w:p>
    <w:p w14:paraId="1D8FB2A3" w14:textId="77777777" w:rsidR="0033697B" w:rsidRPr="0033697B" w:rsidRDefault="0033697B" w:rsidP="0033697B">
      <w:pPr>
        <w:rPr>
          <w:b/>
          <w:szCs w:val="22"/>
        </w:rPr>
      </w:pPr>
      <w:r w:rsidRPr="0033697B">
        <w:rPr>
          <w:b/>
          <w:szCs w:val="22"/>
        </w:rPr>
        <w:t>Observation 4: CAG is human-readable and the network can know whether UE is onboard according to the CAG ID selected by UE.</w:t>
      </w:r>
    </w:p>
    <w:p w14:paraId="2CC4D482" w14:textId="77777777" w:rsidR="0033697B" w:rsidRPr="0033697B" w:rsidRDefault="0033697B" w:rsidP="0033697B">
      <w:pPr>
        <w:rPr>
          <w:b/>
          <w:szCs w:val="22"/>
        </w:rPr>
      </w:pPr>
      <w:r w:rsidRPr="0033697B">
        <w:rPr>
          <w:b/>
          <w:szCs w:val="22"/>
        </w:rPr>
        <w:t>Observation 5, CAG function can be used for identifying onboard UE, which has no impact on legacy UEs.</w:t>
      </w:r>
    </w:p>
    <w:p w14:paraId="16194909" w14:textId="77777777" w:rsidR="0033697B" w:rsidRPr="0033697B" w:rsidRDefault="0033697B" w:rsidP="0033697B">
      <w:pPr>
        <w:rPr>
          <w:b/>
          <w:szCs w:val="22"/>
        </w:rPr>
      </w:pPr>
      <w:r w:rsidRPr="0033697B">
        <w:rPr>
          <w:b/>
          <w:szCs w:val="22"/>
        </w:rPr>
        <w:t>Proposal 3, RAN3 agree to identify whether UE is onboard or not based on the selected CAG ID reported UE.</w:t>
      </w:r>
    </w:p>
    <w:p w14:paraId="1607D39E" w14:textId="77777777" w:rsidR="0033697B" w:rsidRPr="0033697B" w:rsidRDefault="0033697B" w:rsidP="0033697B">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Observation</w:t>
      </w:r>
      <w:r>
        <w:rPr>
          <w:rFonts w:ascii="Times New Roman" w:eastAsia="宋体" w:hAnsi="Times New Roman" w:cs="Times New Roman"/>
          <w:b/>
          <w:szCs w:val="20"/>
          <w:lang w:eastAsia="en-US"/>
        </w:rPr>
        <w:t xml:space="preserve"> 6</w:t>
      </w:r>
      <w:r w:rsidRPr="0033697B">
        <w:rPr>
          <w:rFonts w:ascii="Times New Roman" w:eastAsia="宋体" w:hAnsi="Times New Roman" w:cs="Times New Roman"/>
          <w:b/>
          <w:szCs w:val="20"/>
          <w:lang w:eastAsia="en-US"/>
        </w:rPr>
        <w:t xml:space="preserve">, existing signalling already support dynamic TAC. </w:t>
      </w:r>
    </w:p>
    <w:p w14:paraId="454E0623" w14:textId="77777777" w:rsidR="0033697B" w:rsidRPr="0033697B" w:rsidRDefault="0033697B" w:rsidP="0033697B">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Observation 7, there will no frequent RAU and signalling storms for multiple UEs’ RAU, since the RA of UEs are appropriately configured when it accesses to the network.</w:t>
      </w:r>
    </w:p>
    <w:p w14:paraId="5D4E470A" w14:textId="77777777" w:rsidR="0033697B" w:rsidRPr="0033697B" w:rsidRDefault="0033697B" w:rsidP="0033697B">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Proposal 4, RAN3 conclude that there is no stage 3 specification work to support dynamic TAC from RAN3 perspective.</w:t>
      </w:r>
    </w:p>
    <w:p w14:paraId="3D2A60BF" w14:textId="77777777" w:rsidR="0033697B" w:rsidRPr="0033697B" w:rsidRDefault="0033697B" w:rsidP="0033697B">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Proposal 5, the NCGI for the IAB-node should be assigned by OAM</w:t>
      </w:r>
    </w:p>
    <w:p w14:paraId="512FBAC9" w14:textId="106FD5AD" w:rsidR="0033697B" w:rsidRPr="0033697B" w:rsidRDefault="0033697B" w:rsidP="0033697B">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Proposal 6, both centralized NCGI assignment and distributed NCGI assignment can be supported.</w:t>
      </w:r>
      <w:r w:rsidRPr="0033697B">
        <w:rPr>
          <w:rFonts w:ascii="Times New Roman" w:hAnsi="Times New Roman" w:cs="Times New Roman"/>
          <w:szCs w:val="20"/>
        </w:rPr>
        <w:tab/>
      </w:r>
      <w:bookmarkStart w:id="7" w:name="_GoBack"/>
      <w:bookmarkEnd w:id="7"/>
    </w:p>
    <w:p w14:paraId="193FD945" w14:textId="41EEED5D" w:rsidR="00CD4C7B" w:rsidRPr="006E13D1" w:rsidRDefault="00342065" w:rsidP="00CD4C7B">
      <w:pPr>
        <w:pStyle w:val="1"/>
      </w:pPr>
      <w:r>
        <w:t>4</w:t>
      </w:r>
      <w:r>
        <w:tab/>
      </w:r>
      <w:r w:rsidR="00CD4C7B" w:rsidRPr="006E13D1">
        <w:t>References</w:t>
      </w:r>
    </w:p>
    <w:p w14:paraId="079C0D43" w14:textId="18D9621A" w:rsidR="001D77D4" w:rsidRPr="00CD4C7B" w:rsidRDefault="00A757D7" w:rsidP="004D75F7">
      <w:pPr>
        <w:overflowPunct w:val="0"/>
        <w:autoSpaceDE w:val="0"/>
        <w:autoSpaceDN w:val="0"/>
        <w:adjustRightInd w:val="0"/>
        <w:ind w:left="567" w:hanging="567"/>
        <w:textAlignment w:val="baseline"/>
        <w:rPr>
          <w:lang w:eastAsia="zh-CN"/>
        </w:rPr>
      </w:pPr>
      <w:bookmarkStart w:id="8" w:name="_Ref75086397"/>
      <w:r>
        <w:t>[1]</w:t>
      </w:r>
      <w:r w:rsidRPr="00A757D7">
        <w:t xml:space="preserve"> </w:t>
      </w:r>
      <w:r w:rsidR="00C540F1" w:rsidRPr="00C540F1">
        <w:t>R3-230187</w:t>
      </w:r>
      <w:r w:rsidR="00C540F1">
        <w:t xml:space="preserve"> </w:t>
      </w:r>
      <w:r w:rsidR="00C540F1" w:rsidRPr="00C540F1">
        <w:t>Discussion on LS of FS_VMR solutions review</w:t>
      </w:r>
      <w:r w:rsidR="00C540F1">
        <w:rPr>
          <w:rFonts w:hint="eastAsia"/>
          <w:lang w:eastAsia="zh-CN"/>
        </w:rPr>
        <w:t>,</w:t>
      </w:r>
      <w:r w:rsidR="00C540F1">
        <w:rPr>
          <w:lang w:eastAsia="zh-CN"/>
        </w:rPr>
        <w:t xml:space="preserve"> X</w:t>
      </w:r>
      <w:r w:rsidR="00C540F1">
        <w:rPr>
          <w:rFonts w:hint="eastAsia"/>
          <w:lang w:eastAsia="zh-CN"/>
        </w:rPr>
        <w:t>iaom</w:t>
      </w:r>
      <w:bookmarkEnd w:id="8"/>
      <w:r w:rsidR="00FA2068">
        <w:rPr>
          <w:lang w:eastAsia="zh-CN"/>
        </w:rPr>
        <w:t>i</w:t>
      </w:r>
    </w:p>
    <w:p w14:paraId="0BA2BD6A" w14:textId="424517C4"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CD456" w14:textId="77777777" w:rsidR="00F60FCC" w:rsidRDefault="00F60FCC">
      <w:r>
        <w:separator/>
      </w:r>
    </w:p>
  </w:endnote>
  <w:endnote w:type="continuationSeparator" w:id="0">
    <w:p w14:paraId="5003876D" w14:textId="77777777" w:rsidR="00F60FCC" w:rsidRDefault="00F6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09990" w14:textId="77777777" w:rsidR="00F60FCC" w:rsidRDefault="00F60FCC">
      <w:r>
        <w:separator/>
      </w:r>
    </w:p>
  </w:footnote>
  <w:footnote w:type="continuationSeparator" w:id="0">
    <w:p w14:paraId="10BDF4A1" w14:textId="77777777" w:rsidR="00F60FCC" w:rsidRDefault="00F60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33312"/>
    <w:multiLevelType w:val="hybridMultilevel"/>
    <w:tmpl w:val="6E7CFEE6"/>
    <w:lvl w:ilvl="0" w:tplc="89424C4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124F4"/>
    <w:multiLevelType w:val="hybridMultilevel"/>
    <w:tmpl w:val="D86ADF86"/>
    <w:lvl w:ilvl="0" w:tplc="666A869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E0A6D"/>
    <w:multiLevelType w:val="hybridMultilevel"/>
    <w:tmpl w:val="E378F186"/>
    <w:lvl w:ilvl="0" w:tplc="256618F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422BE"/>
    <w:multiLevelType w:val="hybridMultilevel"/>
    <w:tmpl w:val="7C460C1E"/>
    <w:lvl w:ilvl="0" w:tplc="BFAEE64C">
      <w:numFmt w:val="bullet"/>
      <w:lvlText w:val="-"/>
      <w:lvlJc w:val="left"/>
      <w:pPr>
        <w:ind w:left="1080" w:hanging="36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101C3F"/>
    <w:multiLevelType w:val="hybridMultilevel"/>
    <w:tmpl w:val="5A48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5926FD"/>
    <w:multiLevelType w:val="hybridMultilevel"/>
    <w:tmpl w:val="ECB681EA"/>
    <w:lvl w:ilvl="0" w:tplc="1B32932E">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196CE8"/>
    <w:multiLevelType w:val="hybridMultilevel"/>
    <w:tmpl w:val="456EF9EA"/>
    <w:lvl w:ilvl="0" w:tplc="E6A4DD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5B5DBA"/>
    <w:multiLevelType w:val="hybridMultilevel"/>
    <w:tmpl w:val="F942FD48"/>
    <w:lvl w:ilvl="0" w:tplc="7B58527C">
      <w:start w:val="2022"/>
      <w:numFmt w:val="bullet"/>
      <w:lvlText w:val="-"/>
      <w:lvlJc w:val="left"/>
      <w:pPr>
        <w:ind w:left="630" w:hanging="360"/>
      </w:pPr>
      <w:rPr>
        <w:rFonts w:ascii="Times New Roman" w:eastAsia="MS Mincho"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9"/>
  </w:num>
  <w:num w:numId="6">
    <w:abstractNumId w:val="9"/>
  </w:num>
  <w:num w:numId="7">
    <w:abstractNumId w:val="16"/>
  </w:num>
  <w:num w:numId="8">
    <w:abstractNumId w:val="17"/>
  </w:num>
  <w:num w:numId="9">
    <w:abstractNumId w:val="12"/>
  </w:num>
  <w:num w:numId="10">
    <w:abstractNumId w:val="15"/>
  </w:num>
  <w:num w:numId="11">
    <w:abstractNumId w:val="6"/>
  </w:num>
  <w:num w:numId="12">
    <w:abstractNumId w:val="14"/>
  </w:num>
  <w:num w:numId="13">
    <w:abstractNumId w:val="13"/>
  </w:num>
  <w:num w:numId="14">
    <w:abstractNumId w:val="20"/>
  </w:num>
  <w:num w:numId="15">
    <w:abstractNumId w:val="3"/>
  </w:num>
  <w:num w:numId="16">
    <w:abstractNumId w:val="10"/>
  </w:num>
  <w:num w:numId="17">
    <w:abstractNumId w:val="7"/>
  </w:num>
  <w:num w:numId="18">
    <w:abstractNumId w:val="2"/>
  </w:num>
  <w:num w:numId="19">
    <w:abstractNumId w:val="4"/>
  </w:num>
  <w:num w:numId="20">
    <w:abstractNumId w:val="18"/>
  </w:num>
  <w:num w:numId="21">
    <w:abstractNumId w:val="5"/>
  </w:num>
  <w:num w:numId="22">
    <w:abstractNumId w:val="2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20B7"/>
    <w:rsid w:val="00021025"/>
    <w:rsid w:val="00033397"/>
    <w:rsid w:val="000342C7"/>
    <w:rsid w:val="0003796B"/>
    <w:rsid w:val="00040095"/>
    <w:rsid w:val="0005563E"/>
    <w:rsid w:val="00062604"/>
    <w:rsid w:val="00080512"/>
    <w:rsid w:val="00083F0D"/>
    <w:rsid w:val="00085143"/>
    <w:rsid w:val="000904E9"/>
    <w:rsid w:val="000B7BCF"/>
    <w:rsid w:val="000C1506"/>
    <w:rsid w:val="000C556D"/>
    <w:rsid w:val="000D376D"/>
    <w:rsid w:val="000D58AB"/>
    <w:rsid w:val="000F1DB2"/>
    <w:rsid w:val="001075B7"/>
    <w:rsid w:val="001265F8"/>
    <w:rsid w:val="0013213A"/>
    <w:rsid w:val="0013262A"/>
    <w:rsid w:val="001370F2"/>
    <w:rsid w:val="001549DD"/>
    <w:rsid w:val="00155FF2"/>
    <w:rsid w:val="00171C2B"/>
    <w:rsid w:val="0017527C"/>
    <w:rsid w:val="00190CAC"/>
    <w:rsid w:val="00194CD0"/>
    <w:rsid w:val="001B08B3"/>
    <w:rsid w:val="001B7EB4"/>
    <w:rsid w:val="001C4281"/>
    <w:rsid w:val="001D0D3F"/>
    <w:rsid w:val="001D77D4"/>
    <w:rsid w:val="001E39D1"/>
    <w:rsid w:val="001E6294"/>
    <w:rsid w:val="001F168B"/>
    <w:rsid w:val="001F4A77"/>
    <w:rsid w:val="001F4FE5"/>
    <w:rsid w:val="001F70B7"/>
    <w:rsid w:val="00225F6D"/>
    <w:rsid w:val="0022606D"/>
    <w:rsid w:val="002305DD"/>
    <w:rsid w:val="00243BC7"/>
    <w:rsid w:val="00244585"/>
    <w:rsid w:val="00250D89"/>
    <w:rsid w:val="00252FFD"/>
    <w:rsid w:val="002546FB"/>
    <w:rsid w:val="002623FC"/>
    <w:rsid w:val="00274277"/>
    <w:rsid w:val="002747EC"/>
    <w:rsid w:val="002855BF"/>
    <w:rsid w:val="002868BC"/>
    <w:rsid w:val="002953B2"/>
    <w:rsid w:val="002A5A81"/>
    <w:rsid w:val="002C4F5C"/>
    <w:rsid w:val="002D4676"/>
    <w:rsid w:val="002D4F88"/>
    <w:rsid w:val="002E1692"/>
    <w:rsid w:val="002E67D2"/>
    <w:rsid w:val="002F0D22"/>
    <w:rsid w:val="002F2CE8"/>
    <w:rsid w:val="002F5942"/>
    <w:rsid w:val="003172DC"/>
    <w:rsid w:val="003238E8"/>
    <w:rsid w:val="00326069"/>
    <w:rsid w:val="0032608A"/>
    <w:rsid w:val="0033697B"/>
    <w:rsid w:val="00342065"/>
    <w:rsid w:val="003454FC"/>
    <w:rsid w:val="00353B12"/>
    <w:rsid w:val="0035462D"/>
    <w:rsid w:val="00363177"/>
    <w:rsid w:val="0036587F"/>
    <w:rsid w:val="00366621"/>
    <w:rsid w:val="003702F7"/>
    <w:rsid w:val="00370F20"/>
    <w:rsid w:val="003717A7"/>
    <w:rsid w:val="00385F81"/>
    <w:rsid w:val="00391022"/>
    <w:rsid w:val="003B3FB3"/>
    <w:rsid w:val="003B5FD6"/>
    <w:rsid w:val="003C4E37"/>
    <w:rsid w:val="003E1194"/>
    <w:rsid w:val="003E16BE"/>
    <w:rsid w:val="003E7223"/>
    <w:rsid w:val="00401855"/>
    <w:rsid w:val="00401D6C"/>
    <w:rsid w:val="00402EAF"/>
    <w:rsid w:val="00406760"/>
    <w:rsid w:val="00422ADB"/>
    <w:rsid w:val="00426394"/>
    <w:rsid w:val="00434A83"/>
    <w:rsid w:val="00441022"/>
    <w:rsid w:val="00455983"/>
    <w:rsid w:val="00464695"/>
    <w:rsid w:val="00493C47"/>
    <w:rsid w:val="004C53DC"/>
    <w:rsid w:val="004C5539"/>
    <w:rsid w:val="004D3578"/>
    <w:rsid w:val="004D380D"/>
    <w:rsid w:val="004D3B71"/>
    <w:rsid w:val="004D3F58"/>
    <w:rsid w:val="004D5E47"/>
    <w:rsid w:val="004D75F7"/>
    <w:rsid w:val="004E0173"/>
    <w:rsid w:val="004E213A"/>
    <w:rsid w:val="004E21FC"/>
    <w:rsid w:val="004E6C01"/>
    <w:rsid w:val="00503171"/>
    <w:rsid w:val="005153FE"/>
    <w:rsid w:val="005210A7"/>
    <w:rsid w:val="005240A4"/>
    <w:rsid w:val="00531C12"/>
    <w:rsid w:val="00534DA0"/>
    <w:rsid w:val="005361A0"/>
    <w:rsid w:val="00540B31"/>
    <w:rsid w:val="00543E6C"/>
    <w:rsid w:val="00544635"/>
    <w:rsid w:val="0055222C"/>
    <w:rsid w:val="0055707E"/>
    <w:rsid w:val="00557E1D"/>
    <w:rsid w:val="005626DD"/>
    <w:rsid w:val="00565087"/>
    <w:rsid w:val="0056573F"/>
    <w:rsid w:val="00565BE9"/>
    <w:rsid w:val="00571CE2"/>
    <w:rsid w:val="0057579F"/>
    <w:rsid w:val="00587958"/>
    <w:rsid w:val="00587DED"/>
    <w:rsid w:val="00590486"/>
    <w:rsid w:val="00593EDF"/>
    <w:rsid w:val="005A4971"/>
    <w:rsid w:val="005B1232"/>
    <w:rsid w:val="005B2EEF"/>
    <w:rsid w:val="005C524F"/>
    <w:rsid w:val="005D0F3B"/>
    <w:rsid w:val="005D4274"/>
    <w:rsid w:val="005E3C56"/>
    <w:rsid w:val="005E60CC"/>
    <w:rsid w:val="005F1BD4"/>
    <w:rsid w:val="005F6DE2"/>
    <w:rsid w:val="00604F01"/>
    <w:rsid w:val="00605E3E"/>
    <w:rsid w:val="00606DA9"/>
    <w:rsid w:val="00611566"/>
    <w:rsid w:val="00611D47"/>
    <w:rsid w:val="00617F58"/>
    <w:rsid w:val="006327AD"/>
    <w:rsid w:val="0065074F"/>
    <w:rsid w:val="006538D4"/>
    <w:rsid w:val="00656E1E"/>
    <w:rsid w:val="006604E4"/>
    <w:rsid w:val="00673F8A"/>
    <w:rsid w:val="0067782C"/>
    <w:rsid w:val="00693037"/>
    <w:rsid w:val="00697E26"/>
    <w:rsid w:val="006B36A5"/>
    <w:rsid w:val="006B3E5D"/>
    <w:rsid w:val="006C54B5"/>
    <w:rsid w:val="006D1E24"/>
    <w:rsid w:val="00702BDF"/>
    <w:rsid w:val="00727EEA"/>
    <w:rsid w:val="007304F5"/>
    <w:rsid w:val="00730BF3"/>
    <w:rsid w:val="00734A5B"/>
    <w:rsid w:val="00741EC5"/>
    <w:rsid w:val="00743525"/>
    <w:rsid w:val="00744E76"/>
    <w:rsid w:val="007476DB"/>
    <w:rsid w:val="00754AA5"/>
    <w:rsid w:val="00756B13"/>
    <w:rsid w:val="00757D40"/>
    <w:rsid w:val="00763628"/>
    <w:rsid w:val="00767CDA"/>
    <w:rsid w:val="0077054F"/>
    <w:rsid w:val="00774846"/>
    <w:rsid w:val="00776271"/>
    <w:rsid w:val="00781F0F"/>
    <w:rsid w:val="0078727C"/>
    <w:rsid w:val="00797225"/>
    <w:rsid w:val="00797D4B"/>
    <w:rsid w:val="007C095F"/>
    <w:rsid w:val="007C36EF"/>
    <w:rsid w:val="007C4EA9"/>
    <w:rsid w:val="007D321F"/>
    <w:rsid w:val="007D5902"/>
    <w:rsid w:val="007E0464"/>
    <w:rsid w:val="007E1F12"/>
    <w:rsid w:val="007E4746"/>
    <w:rsid w:val="007F2676"/>
    <w:rsid w:val="007F3B6B"/>
    <w:rsid w:val="007F3F5F"/>
    <w:rsid w:val="008001D5"/>
    <w:rsid w:val="00802106"/>
    <w:rsid w:val="008028A4"/>
    <w:rsid w:val="00806520"/>
    <w:rsid w:val="0081323E"/>
    <w:rsid w:val="008223CA"/>
    <w:rsid w:val="00822537"/>
    <w:rsid w:val="00830106"/>
    <w:rsid w:val="00840916"/>
    <w:rsid w:val="008415DA"/>
    <w:rsid w:val="00842ABD"/>
    <w:rsid w:val="00853EDD"/>
    <w:rsid w:val="00854174"/>
    <w:rsid w:val="008604EE"/>
    <w:rsid w:val="00865B05"/>
    <w:rsid w:val="0087401D"/>
    <w:rsid w:val="00874AD3"/>
    <w:rsid w:val="008768CA"/>
    <w:rsid w:val="00877B02"/>
    <w:rsid w:val="00880559"/>
    <w:rsid w:val="00886DF6"/>
    <w:rsid w:val="008975A9"/>
    <w:rsid w:val="008A79DE"/>
    <w:rsid w:val="008C0CA2"/>
    <w:rsid w:val="008C2420"/>
    <w:rsid w:val="008C2835"/>
    <w:rsid w:val="008C490B"/>
    <w:rsid w:val="008D799A"/>
    <w:rsid w:val="0090271F"/>
    <w:rsid w:val="00903D8C"/>
    <w:rsid w:val="00904D26"/>
    <w:rsid w:val="00917051"/>
    <w:rsid w:val="00917D1E"/>
    <w:rsid w:val="009321BB"/>
    <w:rsid w:val="00942EC2"/>
    <w:rsid w:val="00943B23"/>
    <w:rsid w:val="00952D8F"/>
    <w:rsid w:val="00954BCB"/>
    <w:rsid w:val="00961B32"/>
    <w:rsid w:val="00962CC8"/>
    <w:rsid w:val="00971683"/>
    <w:rsid w:val="00971F47"/>
    <w:rsid w:val="00972FD7"/>
    <w:rsid w:val="00974BB0"/>
    <w:rsid w:val="009932F2"/>
    <w:rsid w:val="009A6E4F"/>
    <w:rsid w:val="009B36EB"/>
    <w:rsid w:val="009B4F59"/>
    <w:rsid w:val="009C4046"/>
    <w:rsid w:val="009C4D5C"/>
    <w:rsid w:val="009D0A28"/>
    <w:rsid w:val="009F3B54"/>
    <w:rsid w:val="009F75AB"/>
    <w:rsid w:val="009F7E6E"/>
    <w:rsid w:val="00A10F02"/>
    <w:rsid w:val="00A13F7D"/>
    <w:rsid w:val="00A2199E"/>
    <w:rsid w:val="00A3295B"/>
    <w:rsid w:val="00A4298B"/>
    <w:rsid w:val="00A53724"/>
    <w:rsid w:val="00A61FEF"/>
    <w:rsid w:val="00A642D7"/>
    <w:rsid w:val="00A64C87"/>
    <w:rsid w:val="00A757D7"/>
    <w:rsid w:val="00A80B02"/>
    <w:rsid w:val="00A82346"/>
    <w:rsid w:val="00A8361A"/>
    <w:rsid w:val="00A9231A"/>
    <w:rsid w:val="00A9671C"/>
    <w:rsid w:val="00AA4B16"/>
    <w:rsid w:val="00AB6AAB"/>
    <w:rsid w:val="00AD4BCF"/>
    <w:rsid w:val="00AF4A8E"/>
    <w:rsid w:val="00AF78D5"/>
    <w:rsid w:val="00B03810"/>
    <w:rsid w:val="00B1063A"/>
    <w:rsid w:val="00B15449"/>
    <w:rsid w:val="00B2047F"/>
    <w:rsid w:val="00B41851"/>
    <w:rsid w:val="00B42422"/>
    <w:rsid w:val="00B503D9"/>
    <w:rsid w:val="00B521D0"/>
    <w:rsid w:val="00B6745D"/>
    <w:rsid w:val="00B71EA5"/>
    <w:rsid w:val="00B9781E"/>
    <w:rsid w:val="00BA311B"/>
    <w:rsid w:val="00BA6755"/>
    <w:rsid w:val="00BA71FF"/>
    <w:rsid w:val="00BB1499"/>
    <w:rsid w:val="00BC3B22"/>
    <w:rsid w:val="00BD5F05"/>
    <w:rsid w:val="00BE3EDD"/>
    <w:rsid w:val="00BF79F1"/>
    <w:rsid w:val="00C03035"/>
    <w:rsid w:val="00C275BC"/>
    <w:rsid w:val="00C33079"/>
    <w:rsid w:val="00C365F1"/>
    <w:rsid w:val="00C43B31"/>
    <w:rsid w:val="00C50536"/>
    <w:rsid w:val="00C540F1"/>
    <w:rsid w:val="00C55EB7"/>
    <w:rsid w:val="00C605E7"/>
    <w:rsid w:val="00C6148F"/>
    <w:rsid w:val="00C805B8"/>
    <w:rsid w:val="00C80DBF"/>
    <w:rsid w:val="00C866E9"/>
    <w:rsid w:val="00C92571"/>
    <w:rsid w:val="00CA276C"/>
    <w:rsid w:val="00CA3D0C"/>
    <w:rsid w:val="00CB6651"/>
    <w:rsid w:val="00CB6887"/>
    <w:rsid w:val="00CC64B4"/>
    <w:rsid w:val="00CD41C2"/>
    <w:rsid w:val="00CD4C7B"/>
    <w:rsid w:val="00D10E97"/>
    <w:rsid w:val="00D22038"/>
    <w:rsid w:val="00D23014"/>
    <w:rsid w:val="00D45717"/>
    <w:rsid w:val="00D71B75"/>
    <w:rsid w:val="00D738D6"/>
    <w:rsid w:val="00D764AE"/>
    <w:rsid w:val="00D80795"/>
    <w:rsid w:val="00D80BE8"/>
    <w:rsid w:val="00D82770"/>
    <w:rsid w:val="00D87E00"/>
    <w:rsid w:val="00D908B4"/>
    <w:rsid w:val="00D90D48"/>
    <w:rsid w:val="00D9134D"/>
    <w:rsid w:val="00D97CD9"/>
    <w:rsid w:val="00DA1CA9"/>
    <w:rsid w:val="00DA5329"/>
    <w:rsid w:val="00DA7A03"/>
    <w:rsid w:val="00DB1818"/>
    <w:rsid w:val="00DC1445"/>
    <w:rsid w:val="00DC309B"/>
    <w:rsid w:val="00DC4DA2"/>
    <w:rsid w:val="00DD7028"/>
    <w:rsid w:val="00DE1406"/>
    <w:rsid w:val="00DE532C"/>
    <w:rsid w:val="00DF6BDE"/>
    <w:rsid w:val="00E0084C"/>
    <w:rsid w:val="00E07838"/>
    <w:rsid w:val="00E305A4"/>
    <w:rsid w:val="00E340BC"/>
    <w:rsid w:val="00E51135"/>
    <w:rsid w:val="00E51F8B"/>
    <w:rsid w:val="00E6028F"/>
    <w:rsid w:val="00E62835"/>
    <w:rsid w:val="00E77645"/>
    <w:rsid w:val="00E852FF"/>
    <w:rsid w:val="00E90ABE"/>
    <w:rsid w:val="00EA1D56"/>
    <w:rsid w:val="00EA22F8"/>
    <w:rsid w:val="00EB4857"/>
    <w:rsid w:val="00EC2F2F"/>
    <w:rsid w:val="00EC4A25"/>
    <w:rsid w:val="00ED0D91"/>
    <w:rsid w:val="00ED1751"/>
    <w:rsid w:val="00ED7F72"/>
    <w:rsid w:val="00EE022B"/>
    <w:rsid w:val="00EE0A1E"/>
    <w:rsid w:val="00EF2DFA"/>
    <w:rsid w:val="00F025A2"/>
    <w:rsid w:val="00F14DCE"/>
    <w:rsid w:val="00F2026E"/>
    <w:rsid w:val="00F2210A"/>
    <w:rsid w:val="00F37743"/>
    <w:rsid w:val="00F54114"/>
    <w:rsid w:val="00F54A3D"/>
    <w:rsid w:val="00F60FCC"/>
    <w:rsid w:val="00F61F76"/>
    <w:rsid w:val="00F653B8"/>
    <w:rsid w:val="00F6620F"/>
    <w:rsid w:val="00F76F8F"/>
    <w:rsid w:val="00FA1266"/>
    <w:rsid w:val="00FA2068"/>
    <w:rsid w:val="00FB2BEA"/>
    <w:rsid w:val="00FC1192"/>
    <w:rsid w:val="00FC53BF"/>
    <w:rsid w:val="00FC6713"/>
    <w:rsid w:val="00FF2F2C"/>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character" w:customStyle="1" w:styleId="CRCoverPageZchn">
    <w:name w:val="CR Cover Page Zchn"/>
    <w:link w:val="CRCoverPage"/>
    <w:rsid w:val="00422ADB"/>
    <w:rPr>
      <w:rFonts w:ascii="Arial" w:eastAsia="MS Mincho" w:hAnsi="Arial"/>
      <w:lang w:val="en-GB" w:eastAsia="en-US"/>
    </w:rPr>
  </w:style>
  <w:style w:type="character" w:customStyle="1" w:styleId="Doc-text2Char">
    <w:name w:val="Doc-text2 Char"/>
    <w:link w:val="Doc-text2"/>
    <w:qFormat/>
    <w:locked/>
    <w:rsid w:val="007D321F"/>
    <w:rPr>
      <w:rFonts w:ascii="Arial" w:eastAsia="MS Mincho" w:hAnsi="Arial" w:cs="Arial"/>
      <w:szCs w:val="24"/>
      <w:lang w:val="en-GB" w:eastAsia="en-GB"/>
    </w:rPr>
  </w:style>
  <w:style w:type="paragraph" w:customStyle="1" w:styleId="Doc-text2">
    <w:name w:val="Doc-text2"/>
    <w:basedOn w:val="a"/>
    <w:link w:val="Doc-text2Char"/>
    <w:qFormat/>
    <w:rsid w:val="007D321F"/>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7D321F"/>
    <w:pPr>
      <w:numPr>
        <w:numId w:val="20"/>
      </w:numPr>
      <w:spacing w:before="60" w:after="0"/>
    </w:pPr>
    <w:rPr>
      <w:rFonts w:ascii="Arial" w:eastAsia="MS Mincho" w:hAnsi="Arial"/>
      <w:b/>
      <w:szCs w:val="24"/>
      <w:lang w:eastAsia="en-GB"/>
    </w:rPr>
  </w:style>
  <w:style w:type="character" w:customStyle="1" w:styleId="EditorsNoteChar">
    <w:name w:val="Editor's Note Char"/>
    <w:aliases w:val="EN Char"/>
    <w:link w:val="EditorsNote"/>
    <w:locked/>
    <w:rsid w:val="00A757D7"/>
    <w:rPr>
      <w:color w:val="FF0000"/>
      <w:lang w:val="en-GB" w:eastAsia="en-US"/>
    </w:rPr>
  </w:style>
  <w:style w:type="character" w:customStyle="1" w:styleId="B1Char1">
    <w:name w:val="B1 Char1"/>
    <w:rsid w:val="00A757D7"/>
    <w:rPr>
      <w:lang w:val="en-GB" w:eastAsia="en-GB"/>
    </w:rPr>
  </w:style>
  <w:style w:type="paragraph" w:styleId="ac">
    <w:name w:val="caption"/>
    <w:basedOn w:val="a"/>
    <w:next w:val="a"/>
    <w:unhideWhenUsed/>
    <w:qFormat/>
    <w:rsid w:val="0044102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6919">
      <w:bodyDiv w:val="1"/>
      <w:marLeft w:val="0"/>
      <w:marRight w:val="0"/>
      <w:marTop w:val="0"/>
      <w:marBottom w:val="0"/>
      <w:divBdr>
        <w:top w:val="none" w:sz="0" w:space="0" w:color="auto"/>
        <w:left w:val="none" w:sz="0" w:space="0" w:color="auto"/>
        <w:bottom w:val="none" w:sz="0" w:space="0" w:color="auto"/>
        <w:right w:val="none" w:sz="0" w:space="0" w:color="auto"/>
      </w:divBdr>
    </w:div>
    <w:div w:id="413673815">
      <w:bodyDiv w:val="1"/>
      <w:marLeft w:val="0"/>
      <w:marRight w:val="0"/>
      <w:marTop w:val="0"/>
      <w:marBottom w:val="0"/>
      <w:divBdr>
        <w:top w:val="none" w:sz="0" w:space="0" w:color="auto"/>
        <w:left w:val="none" w:sz="0" w:space="0" w:color="auto"/>
        <w:bottom w:val="none" w:sz="0" w:space="0" w:color="auto"/>
        <w:right w:val="none" w:sz="0" w:space="0" w:color="auto"/>
      </w:divBdr>
    </w:div>
    <w:div w:id="773326647">
      <w:bodyDiv w:val="1"/>
      <w:marLeft w:val="0"/>
      <w:marRight w:val="0"/>
      <w:marTop w:val="0"/>
      <w:marBottom w:val="0"/>
      <w:divBdr>
        <w:top w:val="none" w:sz="0" w:space="0" w:color="auto"/>
        <w:left w:val="none" w:sz="0" w:space="0" w:color="auto"/>
        <w:bottom w:val="none" w:sz="0" w:space="0" w:color="auto"/>
        <w:right w:val="none" w:sz="0" w:space="0" w:color="auto"/>
      </w:divBdr>
    </w:div>
    <w:div w:id="902181168">
      <w:bodyDiv w:val="1"/>
      <w:marLeft w:val="0"/>
      <w:marRight w:val="0"/>
      <w:marTop w:val="0"/>
      <w:marBottom w:val="0"/>
      <w:divBdr>
        <w:top w:val="none" w:sz="0" w:space="0" w:color="auto"/>
        <w:left w:val="none" w:sz="0" w:space="0" w:color="auto"/>
        <w:bottom w:val="none" w:sz="0" w:space="0" w:color="auto"/>
        <w:right w:val="none" w:sz="0" w:space="0" w:color="auto"/>
      </w:divBdr>
    </w:div>
    <w:div w:id="946891812">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697074934">
      <w:bodyDiv w:val="1"/>
      <w:marLeft w:val="0"/>
      <w:marRight w:val="0"/>
      <w:marTop w:val="0"/>
      <w:marBottom w:val="0"/>
      <w:divBdr>
        <w:top w:val="none" w:sz="0" w:space="0" w:color="auto"/>
        <w:left w:val="none" w:sz="0" w:space="0" w:color="auto"/>
        <w:bottom w:val="none" w:sz="0" w:space="0" w:color="auto"/>
        <w:right w:val="none" w:sz="0" w:space="0" w:color="auto"/>
      </w:divBdr>
    </w:div>
    <w:div w:id="2018338451">
      <w:bodyDiv w:val="1"/>
      <w:marLeft w:val="0"/>
      <w:marRight w:val="0"/>
      <w:marTop w:val="0"/>
      <w:marBottom w:val="0"/>
      <w:divBdr>
        <w:top w:val="none" w:sz="0" w:space="0" w:color="auto"/>
        <w:left w:val="none" w:sz="0" w:space="0" w:color="auto"/>
        <w:bottom w:val="none" w:sz="0" w:space="0" w:color="auto"/>
        <w:right w:val="none" w:sz="0" w:space="0" w:color="auto"/>
      </w:divBdr>
    </w:div>
    <w:div w:id="210549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B366F-5E48-4E56-BA26-D4259639A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1382</Words>
  <Characters>7883</Characters>
  <Application>Microsoft Office Word</Application>
  <DocSecurity>0</DocSecurity>
  <Lines>65</Lines>
  <Paragraphs>18</Paragraphs>
  <ScaleCrop>false</ScaleCrop>
  <Company/>
  <LinksUpToDate>false</LinksUpToDate>
  <CharactersWithSpaces>9247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2023-04-07T04:21:00Z</dcterms:created>
  <dcterms:modified xsi:type="dcterms:W3CDTF">2023-04-07T04:26:00Z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